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7A96" w14:textId="77777777" w:rsidR="00D41F25" w:rsidRDefault="00000000">
      <w:pPr>
        <w:pStyle w:val="Heading1"/>
      </w:pPr>
      <w:r>
        <w:t>Education in Emergencies (EiE) Summary Table - South Sudan (Sample Completed)</w:t>
      </w:r>
    </w:p>
    <w:p w14:paraId="205F903B" w14:textId="079FCD04" w:rsidR="00D41F25" w:rsidRDefault="00000000">
      <w:r>
        <w:t xml:space="preserve">This sample table provides an example of how to complete the Education in Emergencies (EiE) reporting format. </w:t>
      </w:r>
      <w:r w:rsidR="00C068AE">
        <w:br/>
      </w:r>
      <w:r>
        <w:t>The figures included are illustrative and do not represent official data.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97"/>
        <w:gridCol w:w="1771"/>
        <w:gridCol w:w="1771"/>
        <w:gridCol w:w="1771"/>
        <w:gridCol w:w="1771"/>
        <w:gridCol w:w="1771"/>
      </w:tblGrid>
      <w:tr w:rsidR="00C068AE" w14:paraId="480DA1E3" w14:textId="77777777" w:rsidTr="00C068AE">
        <w:tc>
          <w:tcPr>
            <w:tcW w:w="960" w:type="dxa"/>
            <w:vAlign w:val="center"/>
          </w:tcPr>
          <w:p w14:paraId="0D2CE2B5" w14:textId="77777777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>State</w:t>
            </w:r>
          </w:p>
        </w:tc>
        <w:tc>
          <w:tcPr>
            <w:tcW w:w="960" w:type="dxa"/>
            <w:vAlign w:val="center"/>
          </w:tcPr>
          <w:p w14:paraId="0E01E0DF" w14:textId="77777777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>County</w:t>
            </w:r>
          </w:p>
        </w:tc>
        <w:tc>
          <w:tcPr>
            <w:tcW w:w="960" w:type="dxa"/>
            <w:vAlign w:val="center"/>
          </w:tcPr>
          <w:p w14:paraId="791C7771" w14:textId="77777777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>Payam</w:t>
            </w:r>
          </w:p>
        </w:tc>
        <w:tc>
          <w:tcPr>
            <w:tcW w:w="1197" w:type="dxa"/>
            <w:vAlign w:val="center"/>
          </w:tcPr>
          <w:p w14:paraId="541F1F3D" w14:textId="414F2864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>School</w:t>
            </w:r>
            <w:r w:rsidR="00C068AE">
              <w:rPr>
                <w:rFonts w:ascii="Aptos" w:hAnsi="Aptos"/>
                <w:sz w:val="20"/>
                <w:szCs w:val="20"/>
              </w:rPr>
              <w:t xml:space="preserve"> </w:t>
            </w:r>
            <w:r w:rsidRPr="00C068AE">
              <w:rPr>
                <w:rFonts w:ascii="Aptos" w:hAnsi="Aptos"/>
                <w:sz w:val="20"/>
                <w:szCs w:val="20"/>
              </w:rPr>
              <w:t>/</w:t>
            </w:r>
            <w:r w:rsidR="00C068AE">
              <w:rPr>
                <w:rFonts w:ascii="Aptos" w:hAnsi="Aptos"/>
                <w:sz w:val="20"/>
                <w:szCs w:val="20"/>
              </w:rPr>
              <w:t xml:space="preserve"> </w:t>
            </w:r>
            <w:r w:rsidRPr="00C068AE">
              <w:rPr>
                <w:rFonts w:ascii="Aptos" w:hAnsi="Aptos"/>
                <w:sz w:val="20"/>
                <w:szCs w:val="20"/>
              </w:rPr>
              <w:t>Location</w:t>
            </w:r>
          </w:p>
        </w:tc>
        <w:tc>
          <w:tcPr>
            <w:tcW w:w="1771" w:type="dxa"/>
            <w:vAlign w:val="center"/>
          </w:tcPr>
          <w:p w14:paraId="48FE444C" w14:textId="77777777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 xml:space="preserve">Population Data </w:t>
            </w:r>
            <w:r w:rsidRPr="00C068AE">
              <w:rPr>
                <w:rFonts w:ascii="Aptos" w:hAnsi="Aptos"/>
                <w:sz w:val="16"/>
                <w:szCs w:val="16"/>
              </w:rPr>
              <w:t>(Boys/Girls/IDPs/Host)</w:t>
            </w:r>
          </w:p>
        </w:tc>
        <w:tc>
          <w:tcPr>
            <w:tcW w:w="1771" w:type="dxa"/>
            <w:vAlign w:val="center"/>
          </w:tcPr>
          <w:p w14:paraId="5D8EE8FB" w14:textId="77777777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 xml:space="preserve">Access </w:t>
            </w:r>
            <w:r w:rsidRPr="00C068AE">
              <w:rPr>
                <w:rFonts w:ascii="Aptos" w:hAnsi="Aptos"/>
                <w:sz w:val="16"/>
                <w:szCs w:val="16"/>
              </w:rPr>
              <w:t>(Functioning Schools, TLS, Enrolment)</w:t>
            </w:r>
          </w:p>
        </w:tc>
        <w:tc>
          <w:tcPr>
            <w:tcW w:w="1771" w:type="dxa"/>
            <w:vAlign w:val="center"/>
          </w:tcPr>
          <w:p w14:paraId="4E8CC910" w14:textId="5AD4712A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 xml:space="preserve">Teachers &amp; Staff </w:t>
            </w:r>
            <w:r w:rsidR="00C068AE">
              <w:rPr>
                <w:rFonts w:ascii="Aptos" w:hAnsi="Aptos"/>
                <w:sz w:val="20"/>
                <w:szCs w:val="20"/>
              </w:rPr>
              <w:br/>
            </w:r>
            <w:r w:rsidRPr="00C068AE">
              <w:rPr>
                <w:rFonts w:ascii="Aptos" w:hAnsi="Aptos"/>
                <w:sz w:val="16"/>
                <w:szCs w:val="16"/>
              </w:rPr>
              <w:t>(M/F, Trained</w:t>
            </w:r>
            <w:r w:rsidR="00C068AE">
              <w:rPr>
                <w:rFonts w:ascii="Aptos" w:hAnsi="Aptos"/>
                <w:sz w:val="16"/>
                <w:szCs w:val="16"/>
              </w:rPr>
              <w:t xml:space="preserve"> </w:t>
            </w:r>
            <w:r w:rsidRPr="00C068AE">
              <w:rPr>
                <w:rFonts w:ascii="Aptos" w:hAnsi="Aptos"/>
                <w:sz w:val="16"/>
                <w:szCs w:val="16"/>
              </w:rPr>
              <w:t>/</w:t>
            </w:r>
            <w:r w:rsidR="00C068AE">
              <w:rPr>
                <w:rFonts w:ascii="Aptos" w:hAnsi="Aptos"/>
                <w:sz w:val="16"/>
                <w:szCs w:val="16"/>
              </w:rPr>
              <w:t xml:space="preserve"> </w:t>
            </w:r>
            <w:r w:rsidRPr="00C068AE">
              <w:rPr>
                <w:rFonts w:ascii="Aptos" w:hAnsi="Aptos"/>
                <w:sz w:val="16"/>
                <w:szCs w:val="16"/>
              </w:rPr>
              <w:t>Untrained)</w:t>
            </w:r>
          </w:p>
        </w:tc>
        <w:tc>
          <w:tcPr>
            <w:tcW w:w="1771" w:type="dxa"/>
            <w:vAlign w:val="center"/>
          </w:tcPr>
          <w:p w14:paraId="0A0A4987" w14:textId="77777777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 xml:space="preserve">Infrastructure &amp; Materials </w:t>
            </w:r>
            <w:r w:rsidRPr="00C068AE">
              <w:rPr>
                <w:rFonts w:ascii="Aptos" w:hAnsi="Aptos"/>
                <w:sz w:val="16"/>
                <w:szCs w:val="16"/>
              </w:rPr>
              <w:t>(Classrooms, WASH, Kits)</w:t>
            </w:r>
          </w:p>
        </w:tc>
        <w:tc>
          <w:tcPr>
            <w:tcW w:w="1771" w:type="dxa"/>
            <w:vAlign w:val="center"/>
          </w:tcPr>
          <w:p w14:paraId="47B363EF" w14:textId="77777777" w:rsidR="00D41F25" w:rsidRPr="00C068AE" w:rsidRDefault="00000000" w:rsidP="00C068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068AE">
              <w:rPr>
                <w:rFonts w:ascii="Aptos" w:hAnsi="Aptos"/>
                <w:sz w:val="20"/>
                <w:szCs w:val="20"/>
              </w:rPr>
              <w:t xml:space="preserve">Protection &amp; Coordination </w:t>
            </w:r>
            <w:r w:rsidRPr="00C068AE">
              <w:rPr>
                <w:rFonts w:ascii="Aptos" w:hAnsi="Aptos"/>
                <w:sz w:val="16"/>
                <w:szCs w:val="16"/>
              </w:rPr>
              <w:t>(Attacks, Partners, Source, Period)</w:t>
            </w:r>
          </w:p>
        </w:tc>
      </w:tr>
      <w:tr w:rsidR="00C068AE" w14:paraId="5D262A27" w14:textId="77777777" w:rsidTr="00C068AE">
        <w:tc>
          <w:tcPr>
            <w:tcW w:w="960" w:type="dxa"/>
          </w:tcPr>
          <w:p w14:paraId="4E08680B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Jonglei</w:t>
            </w:r>
          </w:p>
        </w:tc>
        <w:tc>
          <w:tcPr>
            <w:tcW w:w="960" w:type="dxa"/>
          </w:tcPr>
          <w:p w14:paraId="338C3B06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Bor</w:t>
            </w:r>
          </w:p>
        </w:tc>
        <w:tc>
          <w:tcPr>
            <w:tcW w:w="960" w:type="dxa"/>
          </w:tcPr>
          <w:p w14:paraId="25C12488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Anyidi</w:t>
            </w:r>
          </w:p>
        </w:tc>
        <w:tc>
          <w:tcPr>
            <w:tcW w:w="1197" w:type="dxa"/>
          </w:tcPr>
          <w:p w14:paraId="7DA33697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St. Mary’s Primary School</w:t>
            </w:r>
          </w:p>
        </w:tc>
        <w:tc>
          <w:tcPr>
            <w:tcW w:w="1771" w:type="dxa"/>
          </w:tcPr>
          <w:p w14:paraId="7972401B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Total: 850 (Boys: 420, Girls: 430; IDPs: 300; Host: 550)</w:t>
            </w:r>
          </w:p>
        </w:tc>
        <w:tc>
          <w:tcPr>
            <w:tcW w:w="1771" w:type="dxa"/>
          </w:tcPr>
          <w:p w14:paraId="2F123263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Functioning schools: 1; TLS: 2; Enrolment: 850</w:t>
            </w:r>
          </w:p>
        </w:tc>
        <w:tc>
          <w:tcPr>
            <w:tcW w:w="1771" w:type="dxa"/>
          </w:tcPr>
          <w:p w14:paraId="6823CD10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Teachers: 12 (M: 8, F: 4); Trained: 6; Untrained: 6</w:t>
            </w:r>
          </w:p>
        </w:tc>
        <w:tc>
          <w:tcPr>
            <w:tcW w:w="1771" w:type="dxa"/>
          </w:tcPr>
          <w:p w14:paraId="407EDB7E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Classrooms: 6 (2 damaged); WASH: 2 latrines; Learning kits: partial</w:t>
            </w:r>
          </w:p>
        </w:tc>
        <w:tc>
          <w:tcPr>
            <w:tcW w:w="1771" w:type="dxa"/>
          </w:tcPr>
          <w:p w14:paraId="5DB75434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No attacks reported; Partners: UNICEF, Save the Children; Source: School Headteacher; Period: Q2 2025</w:t>
            </w:r>
          </w:p>
        </w:tc>
      </w:tr>
      <w:tr w:rsidR="00C068AE" w14:paraId="034F49E8" w14:textId="77777777" w:rsidTr="00C068AE">
        <w:tc>
          <w:tcPr>
            <w:tcW w:w="960" w:type="dxa"/>
          </w:tcPr>
          <w:p w14:paraId="1C2BFD27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Unity</w:t>
            </w:r>
          </w:p>
        </w:tc>
        <w:tc>
          <w:tcPr>
            <w:tcW w:w="960" w:type="dxa"/>
          </w:tcPr>
          <w:p w14:paraId="5E9B729E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Bentiu</w:t>
            </w:r>
          </w:p>
        </w:tc>
        <w:tc>
          <w:tcPr>
            <w:tcW w:w="960" w:type="dxa"/>
          </w:tcPr>
          <w:p w14:paraId="0C89131C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Rubkona</w:t>
            </w:r>
          </w:p>
        </w:tc>
        <w:tc>
          <w:tcPr>
            <w:tcW w:w="1197" w:type="dxa"/>
          </w:tcPr>
          <w:p w14:paraId="01AEC861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Rubkona Temporary Learning Space</w:t>
            </w:r>
          </w:p>
        </w:tc>
        <w:tc>
          <w:tcPr>
            <w:tcW w:w="1771" w:type="dxa"/>
          </w:tcPr>
          <w:p w14:paraId="2949F55A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Total: 1,200 (Boys: 600, Girls: 600; IDPs: 1,000; Host: 200)</w:t>
            </w:r>
          </w:p>
        </w:tc>
        <w:tc>
          <w:tcPr>
            <w:tcW w:w="1771" w:type="dxa"/>
          </w:tcPr>
          <w:p w14:paraId="15563572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Functioning schools: 0; TLS: 3; Enrolment: 1,200</w:t>
            </w:r>
          </w:p>
        </w:tc>
        <w:tc>
          <w:tcPr>
            <w:tcW w:w="1771" w:type="dxa"/>
          </w:tcPr>
          <w:p w14:paraId="274D264A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Teachers: 20 (M: 15, F: 5); Trained: 8; Untrained: 12</w:t>
            </w:r>
          </w:p>
        </w:tc>
        <w:tc>
          <w:tcPr>
            <w:tcW w:w="1771" w:type="dxa"/>
          </w:tcPr>
          <w:p w14:paraId="55C2B07C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Classrooms: 0 permanent; TLS shelters: 3; WASH: inadequate; Learning kits: available</w:t>
            </w:r>
          </w:p>
        </w:tc>
        <w:tc>
          <w:tcPr>
            <w:tcW w:w="1771" w:type="dxa"/>
          </w:tcPr>
          <w:p w14:paraId="28F96974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Reported overcrowding, no direct attacks; Partners: NRC, INTERSOS; Source: EiE Cluster Monitoring; Period: Q2 2025</w:t>
            </w:r>
          </w:p>
        </w:tc>
      </w:tr>
      <w:tr w:rsidR="00C068AE" w:rsidRPr="00C068AE" w14:paraId="325F7017" w14:textId="77777777" w:rsidTr="00C068AE">
        <w:tc>
          <w:tcPr>
            <w:tcW w:w="960" w:type="dxa"/>
          </w:tcPr>
          <w:p w14:paraId="13D2F6B1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Upper Nile</w:t>
            </w:r>
          </w:p>
        </w:tc>
        <w:tc>
          <w:tcPr>
            <w:tcW w:w="960" w:type="dxa"/>
          </w:tcPr>
          <w:p w14:paraId="1F4E9AA1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Malakal</w:t>
            </w:r>
          </w:p>
        </w:tc>
        <w:tc>
          <w:tcPr>
            <w:tcW w:w="960" w:type="dxa"/>
          </w:tcPr>
          <w:p w14:paraId="258ED10E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Fashoda</w:t>
            </w:r>
          </w:p>
        </w:tc>
        <w:tc>
          <w:tcPr>
            <w:tcW w:w="1197" w:type="dxa"/>
          </w:tcPr>
          <w:p w14:paraId="72F6D342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Malakal Secondary School</w:t>
            </w:r>
          </w:p>
        </w:tc>
        <w:tc>
          <w:tcPr>
            <w:tcW w:w="1771" w:type="dxa"/>
          </w:tcPr>
          <w:p w14:paraId="02138EA1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Total: 600 (Boys: 350, Girls: 250; IDPs: 200; Host: 400)</w:t>
            </w:r>
          </w:p>
        </w:tc>
        <w:tc>
          <w:tcPr>
            <w:tcW w:w="1771" w:type="dxa"/>
          </w:tcPr>
          <w:p w14:paraId="43536F82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Functioning schools: 1; TLS: 0; Enrolment: 600</w:t>
            </w:r>
          </w:p>
        </w:tc>
        <w:tc>
          <w:tcPr>
            <w:tcW w:w="1771" w:type="dxa"/>
          </w:tcPr>
          <w:p w14:paraId="72E9B0D5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Teachers: 18 (M: 14, F: 4); Trained: 10; Untrained: 8</w:t>
            </w:r>
          </w:p>
        </w:tc>
        <w:tc>
          <w:tcPr>
            <w:tcW w:w="1771" w:type="dxa"/>
          </w:tcPr>
          <w:p w14:paraId="0A31CDB9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Classrooms: 10 (good condition); WASH: functional; Learning kits: sufficient</w:t>
            </w:r>
          </w:p>
        </w:tc>
        <w:tc>
          <w:tcPr>
            <w:tcW w:w="1771" w:type="dxa"/>
          </w:tcPr>
          <w:p w14:paraId="33ADECBA" w14:textId="77777777" w:rsidR="00D41F25" w:rsidRPr="00C068AE" w:rsidRDefault="00000000">
            <w:pPr>
              <w:rPr>
                <w:rFonts w:ascii="Aptos" w:hAnsi="Aptos"/>
                <w:sz w:val="16"/>
                <w:szCs w:val="16"/>
              </w:rPr>
            </w:pPr>
            <w:r w:rsidRPr="00C068AE">
              <w:rPr>
                <w:rFonts w:ascii="Aptos" w:hAnsi="Aptos"/>
                <w:sz w:val="16"/>
                <w:szCs w:val="16"/>
              </w:rPr>
              <w:t>School fenced, no incidents; Partners: World Vision; Source: State Education Office; Period: Q2 2025</w:t>
            </w:r>
          </w:p>
        </w:tc>
      </w:tr>
    </w:tbl>
    <w:p w14:paraId="125BF800" w14:textId="77777777" w:rsidR="00D15156" w:rsidRPr="00C068AE" w:rsidRDefault="00D15156">
      <w:pPr>
        <w:rPr>
          <w:rFonts w:ascii="Aptos" w:hAnsi="Aptos"/>
        </w:rPr>
      </w:pPr>
    </w:p>
    <w:sectPr w:rsidR="00D15156" w:rsidRPr="00C068AE" w:rsidSect="00C068A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91179">
    <w:abstractNumId w:val="8"/>
  </w:num>
  <w:num w:numId="2" w16cid:durableId="759562717">
    <w:abstractNumId w:val="6"/>
  </w:num>
  <w:num w:numId="3" w16cid:durableId="833033648">
    <w:abstractNumId w:val="5"/>
  </w:num>
  <w:num w:numId="4" w16cid:durableId="1353612216">
    <w:abstractNumId w:val="4"/>
  </w:num>
  <w:num w:numId="5" w16cid:durableId="207110429">
    <w:abstractNumId w:val="7"/>
  </w:num>
  <w:num w:numId="6" w16cid:durableId="260650076">
    <w:abstractNumId w:val="3"/>
  </w:num>
  <w:num w:numId="7" w16cid:durableId="569311354">
    <w:abstractNumId w:val="2"/>
  </w:num>
  <w:num w:numId="8" w16cid:durableId="1832137688">
    <w:abstractNumId w:val="1"/>
  </w:num>
  <w:num w:numId="9" w16cid:durableId="16291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068AE"/>
    <w:rsid w:val="00CB0664"/>
    <w:rsid w:val="00CD3446"/>
    <w:rsid w:val="00D15156"/>
    <w:rsid w:val="00D41F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F914B9"/>
  <w14:defaultImageDpi w14:val="300"/>
  <w15:docId w15:val="{51937BB6-23A3-4E49-BDC0-18DBCA3B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Moore</cp:lastModifiedBy>
  <cp:revision>2</cp:revision>
  <dcterms:created xsi:type="dcterms:W3CDTF">2025-09-18T14:55:00Z</dcterms:created>
  <dcterms:modified xsi:type="dcterms:W3CDTF">2025-09-18T14:55:00Z</dcterms:modified>
  <cp:category/>
</cp:coreProperties>
</file>