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B528F" w14:textId="51A528FE" w:rsidR="00B454E5" w:rsidRDefault="00B76139" w:rsidP="00E94FED">
      <w:pPr>
        <w:pStyle w:val="Heading1"/>
      </w:pPr>
      <w:r>
        <w:t xml:space="preserve">Assessment marking criteria </w:t>
      </w:r>
    </w:p>
    <w:p w14:paraId="482274CF" w14:textId="3F7FC60A" w:rsidR="00B76139" w:rsidRPr="00B76139" w:rsidRDefault="00B76139" w:rsidP="00B76139">
      <w:pPr>
        <w:pStyle w:val="Heading2"/>
      </w:pPr>
      <w:r>
        <w:t>Assessment instructions</w:t>
      </w:r>
    </w:p>
    <w:p w14:paraId="7F195E93" w14:textId="6387FC04" w:rsidR="00A76601" w:rsidRPr="00A76601" w:rsidRDefault="00A76601" w:rsidP="00A76601">
      <w:pPr>
        <w:rPr>
          <w:lang w:val="en-ZA"/>
        </w:rPr>
      </w:pPr>
      <w:r w:rsidRPr="00A76601">
        <w:rPr>
          <w:lang w:val="en-ZA"/>
        </w:rPr>
        <w:t>In the lesson</w:t>
      </w:r>
      <w:r>
        <w:rPr>
          <w:lang w:val="en-ZA"/>
        </w:rPr>
        <w:t>,</w:t>
      </w:r>
      <w:r w:rsidRPr="00A76601">
        <w:rPr>
          <w:lang w:val="en-ZA"/>
        </w:rPr>
        <w:t xml:space="preserve"> you were challenged to think about ways in which you can change your lesson or activity objectives from testing lower order thinking skills to rather testing higher order thinking skills. </w:t>
      </w:r>
    </w:p>
    <w:p w14:paraId="7F0878F4" w14:textId="700D9EDA" w:rsidR="00A76601" w:rsidRDefault="00A76601" w:rsidP="00A76601">
      <w:pPr>
        <w:rPr>
          <w:lang w:val="en-ZA"/>
        </w:rPr>
      </w:pPr>
      <w:r w:rsidRPr="00A76601">
        <w:rPr>
          <w:lang w:val="en-ZA"/>
        </w:rPr>
        <w:t>It is far more enriching for your students to be able to create something or do something with the knowledge that they have gained rather than simply describing or listing the information.</w:t>
      </w:r>
    </w:p>
    <w:p w14:paraId="3126FEA1" w14:textId="77777777" w:rsidR="00A76601" w:rsidRPr="00A76601" w:rsidRDefault="00A76601" w:rsidP="00A76601">
      <w:pPr>
        <w:pStyle w:val="ListParagraph"/>
        <w:numPr>
          <w:ilvl w:val="0"/>
          <w:numId w:val="7"/>
        </w:numPr>
        <w:spacing w:line="276" w:lineRule="auto"/>
        <w:rPr>
          <w:lang w:val="en-ZA"/>
        </w:rPr>
      </w:pPr>
      <w:r w:rsidRPr="00A76601">
        <w:rPr>
          <w:lang w:val="en-ZA"/>
        </w:rPr>
        <w:t xml:space="preserve">Take some time to critically analyse one of your existing lessons </w:t>
      </w:r>
      <w:proofErr w:type="gramStart"/>
      <w:r w:rsidRPr="00A76601">
        <w:rPr>
          <w:lang w:val="en-ZA"/>
        </w:rPr>
        <w:t>in light of</w:t>
      </w:r>
      <w:proofErr w:type="gramEnd"/>
      <w:r w:rsidRPr="00A76601">
        <w:rPr>
          <w:lang w:val="en-ZA"/>
        </w:rPr>
        <w:t xml:space="preserve"> what you learned in this unit. </w:t>
      </w:r>
    </w:p>
    <w:p w14:paraId="40032C52" w14:textId="4B82213A" w:rsidR="00A76601" w:rsidRPr="00A76601" w:rsidRDefault="00A76601" w:rsidP="00A76601">
      <w:pPr>
        <w:pStyle w:val="ListParagraph"/>
        <w:numPr>
          <w:ilvl w:val="0"/>
          <w:numId w:val="7"/>
        </w:numPr>
        <w:spacing w:line="276" w:lineRule="auto"/>
        <w:rPr>
          <w:lang w:val="en-ZA"/>
        </w:rPr>
      </w:pPr>
      <w:r w:rsidRPr="00A76601">
        <w:rPr>
          <w:lang w:val="en-ZA"/>
        </w:rPr>
        <w:t>Identify areas in your lesson plan w</w:t>
      </w:r>
      <w:r>
        <w:rPr>
          <w:lang w:val="en-ZA"/>
        </w:rPr>
        <w:t>h</w:t>
      </w:r>
      <w:r w:rsidRPr="00A76601">
        <w:rPr>
          <w:lang w:val="en-ZA"/>
        </w:rPr>
        <w:t xml:space="preserve">ere you can change the lesson outcomes/objectives from lower order to higher order thinking. </w:t>
      </w:r>
    </w:p>
    <w:p w14:paraId="54C82AB7" w14:textId="77777777" w:rsidR="00A76601" w:rsidRPr="00A76601" w:rsidRDefault="00A76601" w:rsidP="00A76601">
      <w:pPr>
        <w:pStyle w:val="ListParagraph"/>
        <w:numPr>
          <w:ilvl w:val="0"/>
          <w:numId w:val="7"/>
        </w:numPr>
        <w:spacing w:line="276" w:lineRule="auto"/>
        <w:rPr>
          <w:lang w:val="en-ZA"/>
        </w:rPr>
      </w:pPr>
      <w:r w:rsidRPr="00A76601">
        <w:rPr>
          <w:lang w:val="en-ZA"/>
        </w:rPr>
        <w:t>Change your lesson plan and activities to indicate how you will challenge your learners to use higher order thinking skills. Indicate these changes in red on your lesson plan</w:t>
      </w:r>
    </w:p>
    <w:p w14:paraId="5F482725" w14:textId="1E1BA206" w:rsidR="00A76601" w:rsidRPr="00A76601" w:rsidRDefault="00A76601" w:rsidP="00A76601">
      <w:pPr>
        <w:pStyle w:val="ListParagraph"/>
        <w:numPr>
          <w:ilvl w:val="0"/>
          <w:numId w:val="7"/>
        </w:numPr>
        <w:spacing w:line="276" w:lineRule="auto"/>
        <w:rPr>
          <w:lang w:val="en-ZA"/>
        </w:rPr>
      </w:pPr>
      <w:r w:rsidRPr="00A76601">
        <w:rPr>
          <w:lang w:val="en-ZA"/>
        </w:rPr>
        <w:t>You will be asked to submit your old lesson plan, along with your new lesson plan that shows how you have changed the original objectives and activities to encourage higher order thinking skills.</w:t>
      </w:r>
    </w:p>
    <w:p w14:paraId="6FEB52A5" w14:textId="322B8B0C" w:rsidR="00B454E5" w:rsidRPr="00B454E5" w:rsidRDefault="00A76601" w:rsidP="00B76139">
      <w:pPr>
        <w:pStyle w:val="Heading2"/>
      </w:pPr>
      <w:r>
        <w:br/>
      </w:r>
      <w:r w:rsidR="00B76139">
        <w:t xml:space="preserve">Marking criteria </w:t>
      </w:r>
    </w:p>
    <w:p w14:paraId="6FEB52A6" w14:textId="1BA9D079" w:rsidR="00B454E5" w:rsidRPr="00854624" w:rsidRDefault="00A76601" w:rsidP="00E94FED">
      <w:r>
        <w:rPr>
          <w:rFonts w:cs="Arial-BoldMT"/>
          <w:b/>
          <w:bCs/>
        </w:rPr>
        <w:t>Marking rubric for Unit 37</w:t>
      </w:r>
    </w:p>
    <w:tbl>
      <w:tblPr>
        <w:tblStyle w:val="TableGrid"/>
        <w:tblW w:w="10105" w:type="dxa"/>
        <w:tblBorders>
          <w:top w:val="single" w:sz="4" w:space="0" w:color="5F5F5F" w:themeColor="text2" w:themeShade="BF"/>
          <w:left w:val="single" w:sz="4" w:space="0" w:color="5F5F5F" w:themeColor="text2" w:themeShade="BF"/>
          <w:bottom w:val="single" w:sz="4" w:space="0" w:color="5F5F5F" w:themeColor="text2" w:themeShade="BF"/>
          <w:right w:val="single" w:sz="4" w:space="0" w:color="5F5F5F" w:themeColor="text2" w:themeShade="BF"/>
          <w:insideH w:val="single" w:sz="4" w:space="0" w:color="5F5F5F" w:themeColor="text2" w:themeShade="BF"/>
          <w:insideV w:val="single" w:sz="4" w:space="0" w:color="5F5F5F" w:themeColor="text2" w:themeShade="BF"/>
        </w:tblBorders>
        <w:tblLook w:val="04A0" w:firstRow="1" w:lastRow="0" w:firstColumn="1" w:lastColumn="0" w:noHBand="0" w:noVBand="1"/>
      </w:tblPr>
      <w:tblGrid>
        <w:gridCol w:w="3828"/>
        <w:gridCol w:w="1554"/>
        <w:gridCol w:w="1701"/>
        <w:gridCol w:w="1634"/>
        <w:gridCol w:w="1388"/>
      </w:tblGrid>
      <w:tr w:rsidR="00B76139" w:rsidRPr="00B454E5" w14:paraId="6FEB52AB" w14:textId="66642435" w:rsidTr="001A6AD8">
        <w:trPr>
          <w:trHeight w:val="454"/>
        </w:trPr>
        <w:tc>
          <w:tcPr>
            <w:tcW w:w="3828" w:type="dxa"/>
            <w:shd w:val="clear" w:color="auto" w:fill="8CA430" w:themeFill="accent2"/>
            <w:vAlign w:val="center"/>
          </w:tcPr>
          <w:p w14:paraId="6FEB52A7" w14:textId="52019A63" w:rsidR="00B76139" w:rsidRPr="004172EE" w:rsidRDefault="00A76601" w:rsidP="00E94FED">
            <w:pPr>
              <w:rPr>
                <w:b/>
                <w:color w:val="FFFFFF" w:themeColor="background1"/>
              </w:rPr>
            </w:pPr>
            <w:r>
              <w:rPr>
                <w:b/>
                <w:color w:val="FFFFFF" w:themeColor="background1"/>
              </w:rPr>
              <w:t>Evidence that….</w:t>
            </w:r>
          </w:p>
        </w:tc>
        <w:tc>
          <w:tcPr>
            <w:tcW w:w="1554" w:type="dxa"/>
            <w:shd w:val="clear" w:color="auto" w:fill="8CA430" w:themeFill="accent2"/>
            <w:vAlign w:val="center"/>
          </w:tcPr>
          <w:p w14:paraId="6FEB52A8" w14:textId="305DAC4E" w:rsidR="00B76139" w:rsidRPr="004172EE" w:rsidRDefault="00B76139" w:rsidP="00B76139">
            <w:pPr>
              <w:spacing w:line="240" w:lineRule="auto"/>
              <w:rPr>
                <w:b/>
                <w:color w:val="FFFFFF" w:themeColor="background1"/>
              </w:rPr>
            </w:pPr>
            <w:r>
              <w:rPr>
                <w:b/>
                <w:color w:val="FFFFFF" w:themeColor="background1"/>
              </w:rPr>
              <w:t xml:space="preserve">Not proficient </w:t>
            </w:r>
            <w:r>
              <w:rPr>
                <w:b/>
                <w:color w:val="FFFFFF" w:themeColor="background1"/>
              </w:rPr>
              <w:br/>
              <w:t xml:space="preserve">(0 marks) </w:t>
            </w:r>
          </w:p>
        </w:tc>
        <w:tc>
          <w:tcPr>
            <w:tcW w:w="1701" w:type="dxa"/>
            <w:shd w:val="clear" w:color="auto" w:fill="8CA430" w:themeFill="accent2"/>
            <w:vAlign w:val="center"/>
          </w:tcPr>
          <w:p w14:paraId="6FEB52A9" w14:textId="7E046762" w:rsidR="00B76139" w:rsidRPr="004172EE" w:rsidRDefault="00B76139" w:rsidP="00B76139">
            <w:pPr>
              <w:spacing w:line="240" w:lineRule="auto"/>
              <w:rPr>
                <w:b/>
                <w:color w:val="FFFFFF" w:themeColor="background1"/>
              </w:rPr>
            </w:pPr>
            <w:r>
              <w:rPr>
                <w:b/>
                <w:color w:val="FFFFFF" w:themeColor="background1"/>
              </w:rPr>
              <w:t xml:space="preserve">Partially proficient </w:t>
            </w:r>
            <w:r>
              <w:rPr>
                <w:b/>
                <w:color w:val="FFFFFF" w:themeColor="background1"/>
              </w:rPr>
              <w:br/>
              <w:t>(1 mark)</w:t>
            </w:r>
          </w:p>
        </w:tc>
        <w:tc>
          <w:tcPr>
            <w:tcW w:w="1634" w:type="dxa"/>
            <w:shd w:val="clear" w:color="auto" w:fill="8CA430" w:themeFill="accent2"/>
            <w:vAlign w:val="center"/>
          </w:tcPr>
          <w:p w14:paraId="50D27684" w14:textId="77777777" w:rsidR="00B76139" w:rsidRDefault="00B76139" w:rsidP="00B76139">
            <w:pPr>
              <w:spacing w:line="240" w:lineRule="auto"/>
              <w:rPr>
                <w:b/>
                <w:color w:val="FFFFFF" w:themeColor="background1"/>
              </w:rPr>
            </w:pPr>
            <w:r>
              <w:rPr>
                <w:b/>
                <w:color w:val="FFFFFF" w:themeColor="background1"/>
              </w:rPr>
              <w:t>Proficient</w:t>
            </w:r>
          </w:p>
          <w:p w14:paraId="6FEB52AA" w14:textId="2EA08FFF" w:rsidR="00B76139" w:rsidRPr="004172EE" w:rsidRDefault="00B76139" w:rsidP="00B76139">
            <w:pPr>
              <w:spacing w:line="240" w:lineRule="auto"/>
              <w:rPr>
                <w:b/>
                <w:color w:val="FFFFFF" w:themeColor="background1"/>
              </w:rPr>
            </w:pPr>
            <w:r>
              <w:rPr>
                <w:b/>
                <w:color w:val="FFFFFF" w:themeColor="background1"/>
              </w:rPr>
              <w:t xml:space="preserve">(2 marks)  </w:t>
            </w:r>
          </w:p>
        </w:tc>
        <w:tc>
          <w:tcPr>
            <w:tcW w:w="1388" w:type="dxa"/>
            <w:shd w:val="clear" w:color="auto" w:fill="8CA430" w:themeFill="accent2"/>
            <w:vAlign w:val="center"/>
          </w:tcPr>
          <w:p w14:paraId="3BF88313" w14:textId="77777777" w:rsidR="00B76139" w:rsidRDefault="00B76139" w:rsidP="00B76139">
            <w:pPr>
              <w:spacing w:line="240" w:lineRule="auto"/>
              <w:rPr>
                <w:b/>
                <w:color w:val="FFFFFF" w:themeColor="background1"/>
              </w:rPr>
            </w:pPr>
            <w:r>
              <w:rPr>
                <w:b/>
                <w:color w:val="FFFFFF" w:themeColor="background1"/>
              </w:rPr>
              <w:t>Exceeded expectations</w:t>
            </w:r>
          </w:p>
          <w:p w14:paraId="2ACE05C2" w14:textId="02911365" w:rsidR="00B76139" w:rsidRDefault="001A6AD8" w:rsidP="00B76139">
            <w:pPr>
              <w:spacing w:line="240" w:lineRule="auto"/>
              <w:rPr>
                <w:b/>
                <w:color w:val="FFFFFF" w:themeColor="background1"/>
              </w:rPr>
            </w:pPr>
            <w:r>
              <w:rPr>
                <w:b/>
                <w:color w:val="FFFFFF" w:themeColor="background1"/>
              </w:rPr>
              <w:t>(3</w:t>
            </w:r>
            <w:r w:rsidR="00B76139">
              <w:rPr>
                <w:b/>
                <w:color w:val="FFFFFF" w:themeColor="background1"/>
              </w:rPr>
              <w:t xml:space="preserve"> marks)</w:t>
            </w:r>
          </w:p>
        </w:tc>
      </w:tr>
      <w:tr w:rsidR="009C7B04" w:rsidRPr="00B454E5" w14:paraId="6FEB52B0" w14:textId="2916FFB3" w:rsidTr="00A06558">
        <w:trPr>
          <w:trHeight w:val="454"/>
        </w:trPr>
        <w:tc>
          <w:tcPr>
            <w:tcW w:w="3828" w:type="dxa"/>
          </w:tcPr>
          <w:p w14:paraId="6FEB52AC" w14:textId="5C75324C" w:rsidR="009C7B04" w:rsidRPr="00B454E5" w:rsidRDefault="00A76601" w:rsidP="00A76601">
            <w:pPr>
              <w:spacing w:line="240" w:lineRule="auto"/>
            </w:pPr>
            <w:r>
              <w:t xml:space="preserve">Learner has submitted original lesson plan </w:t>
            </w:r>
          </w:p>
        </w:tc>
        <w:tc>
          <w:tcPr>
            <w:tcW w:w="1554" w:type="dxa"/>
            <w:vAlign w:val="center"/>
          </w:tcPr>
          <w:p w14:paraId="6FEB52AD" w14:textId="1DA74448" w:rsidR="009C7B04" w:rsidRPr="00B454E5" w:rsidRDefault="009C7B04" w:rsidP="009C7B04"/>
        </w:tc>
        <w:tc>
          <w:tcPr>
            <w:tcW w:w="1701" w:type="dxa"/>
            <w:vAlign w:val="center"/>
          </w:tcPr>
          <w:p w14:paraId="6FEB52AE" w14:textId="32C5775D" w:rsidR="009C7B04" w:rsidRPr="00B454E5" w:rsidRDefault="009C7B04" w:rsidP="009C7B04"/>
        </w:tc>
        <w:tc>
          <w:tcPr>
            <w:tcW w:w="1634" w:type="dxa"/>
            <w:vAlign w:val="center"/>
          </w:tcPr>
          <w:p w14:paraId="6FEB52AF" w14:textId="2E261E18" w:rsidR="009C7B04" w:rsidRPr="00B454E5" w:rsidRDefault="009C7B04" w:rsidP="009C7B04">
            <w:r>
              <w:t xml:space="preserve"> </w:t>
            </w:r>
          </w:p>
        </w:tc>
        <w:tc>
          <w:tcPr>
            <w:tcW w:w="1388" w:type="dxa"/>
          </w:tcPr>
          <w:p w14:paraId="725C33B1" w14:textId="77777777" w:rsidR="009C7B04" w:rsidRPr="00B454E5" w:rsidRDefault="009C7B04" w:rsidP="009C7B04"/>
        </w:tc>
      </w:tr>
      <w:tr w:rsidR="009C7B04" w:rsidRPr="00B454E5" w14:paraId="6FEB52B5" w14:textId="144A2E71" w:rsidTr="00A06558">
        <w:trPr>
          <w:trHeight w:val="454"/>
        </w:trPr>
        <w:tc>
          <w:tcPr>
            <w:tcW w:w="3828" w:type="dxa"/>
          </w:tcPr>
          <w:p w14:paraId="6FEB52B1" w14:textId="5D58B699" w:rsidR="009C7B04" w:rsidRPr="00B454E5" w:rsidRDefault="00A76601" w:rsidP="00A76601">
            <w:pPr>
              <w:spacing w:line="240" w:lineRule="auto"/>
            </w:pPr>
            <w:r>
              <w:t xml:space="preserve">Learner has submitted amended lesson plan </w:t>
            </w:r>
          </w:p>
        </w:tc>
        <w:tc>
          <w:tcPr>
            <w:tcW w:w="1554" w:type="dxa"/>
            <w:vAlign w:val="center"/>
          </w:tcPr>
          <w:p w14:paraId="6FEB52B2" w14:textId="150AF232" w:rsidR="009C7B04" w:rsidRPr="00B454E5" w:rsidRDefault="009C7B04" w:rsidP="009C7B04"/>
        </w:tc>
        <w:tc>
          <w:tcPr>
            <w:tcW w:w="1701" w:type="dxa"/>
            <w:vAlign w:val="center"/>
          </w:tcPr>
          <w:p w14:paraId="6FEB52B3" w14:textId="60BBC51C" w:rsidR="009C7B04" w:rsidRPr="00B454E5" w:rsidRDefault="009C7B04" w:rsidP="009C7B04"/>
        </w:tc>
        <w:tc>
          <w:tcPr>
            <w:tcW w:w="1634" w:type="dxa"/>
            <w:vAlign w:val="center"/>
          </w:tcPr>
          <w:p w14:paraId="6FEB52B4" w14:textId="69B3ADE9" w:rsidR="009C7B04" w:rsidRPr="00B454E5" w:rsidRDefault="009C7B04" w:rsidP="009C7B04"/>
        </w:tc>
        <w:tc>
          <w:tcPr>
            <w:tcW w:w="1388" w:type="dxa"/>
          </w:tcPr>
          <w:p w14:paraId="7CE455FA" w14:textId="77777777" w:rsidR="009C7B04" w:rsidRPr="00B454E5" w:rsidRDefault="009C7B04" w:rsidP="009C7B04"/>
        </w:tc>
      </w:tr>
      <w:tr w:rsidR="009C7B04" w:rsidRPr="00B454E5" w14:paraId="6FEB52BA" w14:textId="06EEC759" w:rsidTr="00A06558">
        <w:trPr>
          <w:trHeight w:val="454"/>
        </w:trPr>
        <w:tc>
          <w:tcPr>
            <w:tcW w:w="3828" w:type="dxa"/>
          </w:tcPr>
          <w:p w14:paraId="6FEB52B6" w14:textId="1F0FF325" w:rsidR="009C7B04" w:rsidRPr="00B454E5" w:rsidRDefault="00A76601" w:rsidP="00A76601">
            <w:pPr>
              <w:spacing w:line="240" w:lineRule="auto"/>
            </w:pPr>
            <w:r>
              <w:t xml:space="preserve">Learner shows understanding of Blooms Taxonomy levels (progression from lower order thinking skills to higher order thinking skills) </w:t>
            </w:r>
          </w:p>
        </w:tc>
        <w:tc>
          <w:tcPr>
            <w:tcW w:w="1554" w:type="dxa"/>
            <w:vAlign w:val="center"/>
          </w:tcPr>
          <w:p w14:paraId="6FEB52B7" w14:textId="6DBBAC1F" w:rsidR="009C7B04" w:rsidRPr="00B454E5" w:rsidRDefault="009C7B04" w:rsidP="009C7B04"/>
        </w:tc>
        <w:tc>
          <w:tcPr>
            <w:tcW w:w="1701" w:type="dxa"/>
            <w:vAlign w:val="center"/>
          </w:tcPr>
          <w:p w14:paraId="6FEB52B8" w14:textId="1E6C5B82" w:rsidR="009C7B04" w:rsidRPr="00B454E5" w:rsidRDefault="009C7B04" w:rsidP="009C7B04"/>
        </w:tc>
        <w:tc>
          <w:tcPr>
            <w:tcW w:w="1634" w:type="dxa"/>
            <w:vAlign w:val="center"/>
          </w:tcPr>
          <w:p w14:paraId="6FEB52B9" w14:textId="63413024" w:rsidR="009C7B04" w:rsidRPr="00B454E5" w:rsidRDefault="009C7B04" w:rsidP="009C7B04">
            <w:r>
              <w:t xml:space="preserve"> </w:t>
            </w:r>
          </w:p>
        </w:tc>
        <w:tc>
          <w:tcPr>
            <w:tcW w:w="1388" w:type="dxa"/>
          </w:tcPr>
          <w:p w14:paraId="11624B5F" w14:textId="77777777" w:rsidR="009C7B04" w:rsidRPr="00B454E5" w:rsidRDefault="009C7B04" w:rsidP="009C7B04"/>
        </w:tc>
      </w:tr>
      <w:tr w:rsidR="00B76139" w:rsidRPr="00B454E5" w14:paraId="6FEB52BF" w14:textId="7A682218" w:rsidTr="001A6AD8">
        <w:trPr>
          <w:trHeight w:val="454"/>
        </w:trPr>
        <w:tc>
          <w:tcPr>
            <w:tcW w:w="3828" w:type="dxa"/>
            <w:vAlign w:val="center"/>
          </w:tcPr>
          <w:p w14:paraId="6FEB52BB" w14:textId="0E272CA5" w:rsidR="00B76139" w:rsidRPr="00B454E5" w:rsidRDefault="00A76601" w:rsidP="00A76601">
            <w:pPr>
              <w:spacing w:line="240" w:lineRule="auto"/>
            </w:pPr>
            <w:r>
              <w:t xml:space="preserve">At least 2 activities in the lesson plan have changed from lower order (remembering, understanding) to higher order (applying, analysing, evaluating, creating) </w:t>
            </w:r>
          </w:p>
        </w:tc>
        <w:tc>
          <w:tcPr>
            <w:tcW w:w="1554" w:type="dxa"/>
            <w:vAlign w:val="center"/>
          </w:tcPr>
          <w:p w14:paraId="6FEB52BC" w14:textId="34363702" w:rsidR="00B76139" w:rsidRPr="00B454E5" w:rsidRDefault="00B76139" w:rsidP="00E94FED"/>
        </w:tc>
        <w:tc>
          <w:tcPr>
            <w:tcW w:w="1701" w:type="dxa"/>
            <w:vAlign w:val="center"/>
          </w:tcPr>
          <w:p w14:paraId="6FEB52BD" w14:textId="2E670E3F" w:rsidR="00B76139" w:rsidRPr="00B454E5" w:rsidRDefault="00B76139" w:rsidP="00E94FED"/>
        </w:tc>
        <w:tc>
          <w:tcPr>
            <w:tcW w:w="1634" w:type="dxa"/>
            <w:vAlign w:val="center"/>
          </w:tcPr>
          <w:p w14:paraId="6FEB52BE" w14:textId="50DF1C70" w:rsidR="00B76139" w:rsidRPr="00B454E5" w:rsidRDefault="001A6AD8" w:rsidP="00E94FED">
            <w:r>
              <w:t xml:space="preserve"> </w:t>
            </w:r>
          </w:p>
        </w:tc>
        <w:tc>
          <w:tcPr>
            <w:tcW w:w="1388" w:type="dxa"/>
          </w:tcPr>
          <w:p w14:paraId="07F0EB35" w14:textId="77777777" w:rsidR="00B76139" w:rsidRPr="00B454E5" w:rsidRDefault="00B76139" w:rsidP="00E94FED"/>
        </w:tc>
      </w:tr>
      <w:tr w:rsidR="00A76601" w:rsidRPr="00B454E5" w14:paraId="4F8515F3" w14:textId="77777777" w:rsidTr="001A6AD8">
        <w:trPr>
          <w:trHeight w:val="454"/>
        </w:trPr>
        <w:tc>
          <w:tcPr>
            <w:tcW w:w="3828" w:type="dxa"/>
            <w:vAlign w:val="center"/>
          </w:tcPr>
          <w:p w14:paraId="3D43709C" w14:textId="24D02A58" w:rsidR="00A76601" w:rsidRDefault="00A76601" w:rsidP="00A76601">
            <w:pPr>
              <w:spacing w:line="240" w:lineRule="auto"/>
            </w:pPr>
            <w:r>
              <w:t xml:space="preserve">New activities suggested in lesson plan are well thought out, interesting and would be applicable in a classroom setting. </w:t>
            </w:r>
          </w:p>
        </w:tc>
        <w:tc>
          <w:tcPr>
            <w:tcW w:w="1554" w:type="dxa"/>
            <w:vAlign w:val="center"/>
          </w:tcPr>
          <w:p w14:paraId="5F43D408" w14:textId="77777777" w:rsidR="00A76601" w:rsidRPr="00B454E5" w:rsidRDefault="00A76601" w:rsidP="00E94FED"/>
        </w:tc>
        <w:tc>
          <w:tcPr>
            <w:tcW w:w="1701" w:type="dxa"/>
            <w:vAlign w:val="center"/>
          </w:tcPr>
          <w:p w14:paraId="482A1C0F" w14:textId="77777777" w:rsidR="00A76601" w:rsidRPr="00B454E5" w:rsidRDefault="00A76601" w:rsidP="00E94FED"/>
        </w:tc>
        <w:tc>
          <w:tcPr>
            <w:tcW w:w="1634" w:type="dxa"/>
            <w:vAlign w:val="center"/>
          </w:tcPr>
          <w:p w14:paraId="12834D89" w14:textId="77777777" w:rsidR="00A76601" w:rsidRDefault="00A76601" w:rsidP="00E94FED"/>
        </w:tc>
        <w:tc>
          <w:tcPr>
            <w:tcW w:w="1388" w:type="dxa"/>
          </w:tcPr>
          <w:p w14:paraId="52422B54" w14:textId="77777777" w:rsidR="00A76601" w:rsidRPr="00B454E5" w:rsidRDefault="00A76601" w:rsidP="00E94FED"/>
        </w:tc>
      </w:tr>
      <w:tr w:rsidR="00A76601" w:rsidRPr="00B454E5" w14:paraId="71E11DE0" w14:textId="77777777" w:rsidTr="001A6AD8">
        <w:trPr>
          <w:trHeight w:val="454"/>
        </w:trPr>
        <w:tc>
          <w:tcPr>
            <w:tcW w:w="3828" w:type="dxa"/>
            <w:vAlign w:val="center"/>
          </w:tcPr>
          <w:p w14:paraId="0F8A0FFA" w14:textId="7052A79C" w:rsidR="00A76601" w:rsidRDefault="00A76601" w:rsidP="00A76601">
            <w:pPr>
              <w:spacing w:line="240" w:lineRule="auto"/>
            </w:pPr>
            <w:r>
              <w:t xml:space="preserve">Changes to activities have been indicated in red on the amended lesson plan </w:t>
            </w:r>
          </w:p>
        </w:tc>
        <w:tc>
          <w:tcPr>
            <w:tcW w:w="1554" w:type="dxa"/>
            <w:vAlign w:val="center"/>
          </w:tcPr>
          <w:p w14:paraId="3E93AE61" w14:textId="77777777" w:rsidR="00A76601" w:rsidRPr="00B454E5" w:rsidRDefault="00A76601" w:rsidP="00E94FED"/>
        </w:tc>
        <w:tc>
          <w:tcPr>
            <w:tcW w:w="1701" w:type="dxa"/>
            <w:vAlign w:val="center"/>
          </w:tcPr>
          <w:p w14:paraId="4295A0CC" w14:textId="77777777" w:rsidR="00A76601" w:rsidRPr="00B454E5" w:rsidRDefault="00A76601" w:rsidP="00E94FED"/>
        </w:tc>
        <w:tc>
          <w:tcPr>
            <w:tcW w:w="1634" w:type="dxa"/>
            <w:vAlign w:val="center"/>
          </w:tcPr>
          <w:p w14:paraId="0146789F" w14:textId="77777777" w:rsidR="00A76601" w:rsidRDefault="00A76601" w:rsidP="00E94FED"/>
        </w:tc>
        <w:tc>
          <w:tcPr>
            <w:tcW w:w="1388" w:type="dxa"/>
          </w:tcPr>
          <w:p w14:paraId="078E1C52" w14:textId="77777777" w:rsidR="00A76601" w:rsidRPr="00B454E5" w:rsidRDefault="00A76601" w:rsidP="00E94FED"/>
        </w:tc>
      </w:tr>
      <w:tr w:rsidR="001A6AD8" w:rsidRPr="00B454E5" w14:paraId="3CA14642" w14:textId="77777777" w:rsidTr="00B215B9">
        <w:trPr>
          <w:trHeight w:val="454"/>
        </w:trPr>
        <w:tc>
          <w:tcPr>
            <w:tcW w:w="8717" w:type="dxa"/>
            <w:gridSpan w:val="4"/>
            <w:vAlign w:val="center"/>
          </w:tcPr>
          <w:p w14:paraId="524921BA" w14:textId="67FC59E7" w:rsidR="001A6AD8" w:rsidRPr="001A6AD8" w:rsidRDefault="001A6AD8" w:rsidP="001A6AD8">
            <w:pPr>
              <w:jc w:val="right"/>
              <w:rPr>
                <w:b/>
              </w:rPr>
            </w:pPr>
            <w:r w:rsidRPr="001A6AD8">
              <w:rPr>
                <w:b/>
              </w:rPr>
              <w:t>TOTAL</w:t>
            </w:r>
          </w:p>
        </w:tc>
        <w:tc>
          <w:tcPr>
            <w:tcW w:w="1388" w:type="dxa"/>
          </w:tcPr>
          <w:p w14:paraId="5A9FB9A1" w14:textId="7176EC7A" w:rsidR="001A6AD8" w:rsidRPr="001A6AD8" w:rsidRDefault="00A76601" w:rsidP="00E94FED">
            <w:pPr>
              <w:rPr>
                <w:b/>
              </w:rPr>
            </w:pPr>
            <w:r>
              <w:rPr>
                <w:b/>
              </w:rPr>
              <w:t xml:space="preserve">       /18</w:t>
            </w:r>
            <w:bookmarkStart w:id="0" w:name="_GoBack"/>
            <w:bookmarkEnd w:id="0"/>
          </w:p>
        </w:tc>
      </w:tr>
    </w:tbl>
    <w:p w14:paraId="6FEB52C0" w14:textId="77777777" w:rsidR="002E4D4B" w:rsidRPr="00B454E5" w:rsidRDefault="002E4D4B" w:rsidP="00E94FED"/>
    <w:sectPr w:rsidR="002E4D4B" w:rsidRPr="00B454E5" w:rsidSect="00B454E5">
      <w:headerReference w:type="default" r:id="rId10"/>
      <w:footerReference w:type="default" r:id="rId11"/>
      <w:pgSz w:w="11906" w:h="16838"/>
      <w:pgMar w:top="2408"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14020" w14:textId="77777777" w:rsidR="00B25DD6" w:rsidRDefault="00B25DD6" w:rsidP="00E94FED">
      <w:r>
        <w:separator/>
      </w:r>
    </w:p>
  </w:endnote>
  <w:endnote w:type="continuationSeparator" w:id="0">
    <w:p w14:paraId="1FEE4ACD" w14:textId="77777777" w:rsidR="00B25DD6" w:rsidRDefault="00B25DD6" w:rsidP="00E9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B52C6" w14:textId="77777777" w:rsidR="00B454E5" w:rsidRDefault="00B454E5" w:rsidP="00E94FED">
    <w:pPr>
      <w:pStyle w:val="Footer"/>
    </w:pPr>
    <w:r>
      <w:rPr>
        <w:noProof/>
      </w:rPr>
      <w:drawing>
        <wp:anchor distT="0" distB="0" distL="114300" distR="114300" simplePos="0" relativeHeight="251659264" behindDoc="0" locked="0" layoutInCell="1" allowOverlap="1" wp14:anchorId="6FEB52CB" wp14:editId="6FEB52CC">
          <wp:simplePos x="457200" y="9286875"/>
          <wp:positionH relativeFrom="page">
            <wp:align>left</wp:align>
          </wp:positionH>
          <wp:positionV relativeFrom="page">
            <wp:align>bottom</wp:align>
          </wp:positionV>
          <wp:extent cx="7556400" cy="1076400"/>
          <wp:effectExtent l="0" t="0" r="698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thew Goniwe and Gauteng Dept of Education GRAPHICS-29.jpg"/>
                  <pic:cNvPicPr/>
                </pic:nvPicPr>
                <pic:blipFill>
                  <a:blip r:embed="rId1">
                    <a:extLst>
                      <a:ext uri="{28A0092B-C50C-407E-A947-70E740481C1C}">
                        <a14:useLocalDpi xmlns:a14="http://schemas.microsoft.com/office/drawing/2010/main" val="0"/>
                      </a:ext>
                    </a:extLst>
                  </a:blip>
                  <a:stretch>
                    <a:fillRect/>
                  </a:stretch>
                </pic:blipFill>
                <pic:spPr>
                  <a:xfrm>
                    <a:off x="0" y="0"/>
                    <a:ext cx="7556400" cy="107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DBE8E" w14:textId="77777777" w:rsidR="00B25DD6" w:rsidRDefault="00B25DD6" w:rsidP="00E94FED">
      <w:r>
        <w:separator/>
      </w:r>
    </w:p>
  </w:footnote>
  <w:footnote w:type="continuationSeparator" w:id="0">
    <w:p w14:paraId="20C12ACA" w14:textId="77777777" w:rsidR="00B25DD6" w:rsidRDefault="00B25DD6" w:rsidP="00E94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B52C5" w14:textId="77777777" w:rsidR="00B454E5" w:rsidRDefault="00B454E5" w:rsidP="00E94FED">
    <w:pPr>
      <w:pStyle w:val="Header"/>
    </w:pPr>
    <w:r>
      <w:rPr>
        <w:noProof/>
      </w:rPr>
      <mc:AlternateContent>
        <mc:Choice Requires="wps">
          <w:drawing>
            <wp:anchor distT="0" distB="0" distL="114300" distR="114300" simplePos="0" relativeHeight="251660288" behindDoc="0" locked="0" layoutInCell="1" allowOverlap="1" wp14:anchorId="6FEB52C7" wp14:editId="06BFC839">
              <wp:simplePos x="0" y="0"/>
              <wp:positionH relativeFrom="column">
                <wp:posOffset>990600</wp:posOffset>
              </wp:positionH>
              <wp:positionV relativeFrom="paragraph">
                <wp:posOffset>-287655</wp:posOffset>
              </wp:positionV>
              <wp:extent cx="5981700" cy="1047750"/>
              <wp:effectExtent l="0" t="0" r="0" b="0"/>
              <wp:wrapNone/>
              <wp:docPr id="32" name="Rectangle 32"/>
              <wp:cNvGraphicFramePr/>
              <a:graphic xmlns:a="http://schemas.openxmlformats.org/drawingml/2006/main">
                <a:graphicData uri="http://schemas.microsoft.com/office/word/2010/wordprocessingShape">
                  <wps:wsp>
                    <wps:cNvSpPr/>
                    <wps:spPr>
                      <a:xfrm>
                        <a:off x="0" y="0"/>
                        <a:ext cx="5981700" cy="1047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43BC9C" w14:textId="7F0F9ED6" w:rsidR="00B76139" w:rsidRDefault="004172EE" w:rsidP="00E94FED">
                          <w:pPr>
                            <w:spacing w:line="240" w:lineRule="exact"/>
                            <w:rPr>
                              <w:b/>
                              <w:color w:val="FFFFFF" w:themeColor="background1"/>
                            </w:rPr>
                          </w:pPr>
                          <w:r w:rsidRPr="004172EE">
                            <w:rPr>
                              <w:b/>
                              <w:color w:val="FFFFFF" w:themeColor="background1"/>
                            </w:rPr>
                            <w:t>INTEGRATE ICT INTO TEACHING AND LEARNING</w:t>
                          </w:r>
                          <w:r w:rsidR="00B76139">
                            <w:rPr>
                              <w:b/>
                              <w:color w:val="FFFFFF" w:themeColor="background1"/>
                            </w:rPr>
                            <w:t xml:space="preserve"> | MODULE </w:t>
                          </w:r>
                          <w:r w:rsidR="009C7B04">
                            <w:rPr>
                              <w:b/>
                              <w:color w:val="FFFFFF" w:themeColor="background1"/>
                            </w:rPr>
                            <w:t>4</w:t>
                          </w:r>
                          <w:r w:rsidR="00B454E5" w:rsidRPr="00E94FED">
                            <w:rPr>
                              <w:b/>
                              <w:color w:val="FFFFFF" w:themeColor="background1"/>
                            </w:rPr>
                            <w:t xml:space="preserve"> </w:t>
                          </w:r>
                          <w:r w:rsidR="00B76139">
                            <w:rPr>
                              <w:b/>
                              <w:color w:val="FFFFFF" w:themeColor="background1"/>
                            </w:rPr>
                            <w:t>–</w:t>
                          </w:r>
                          <w:r w:rsidR="00B454E5" w:rsidRPr="00E94FED">
                            <w:rPr>
                              <w:b/>
                              <w:color w:val="FFFFFF" w:themeColor="background1"/>
                            </w:rPr>
                            <w:t xml:space="preserve"> </w:t>
                          </w:r>
                          <w:r w:rsidR="009C7B04">
                            <w:rPr>
                              <w:b/>
                              <w:color w:val="FFFFFF" w:themeColor="background1"/>
                            </w:rPr>
                            <w:t>USING ICT-BASED ASSESSMENT TOOLS</w:t>
                          </w:r>
                        </w:p>
                        <w:p w14:paraId="6FEB52CE" w14:textId="6AA59C06" w:rsidR="00B454E5" w:rsidRPr="00E94FED" w:rsidRDefault="00B454E5" w:rsidP="00E94FED">
                          <w:pPr>
                            <w:spacing w:line="520" w:lineRule="exact"/>
                            <w:rPr>
                              <w:bCs/>
                              <w:color w:val="FFFFFF" w:themeColor="background1"/>
                              <w:sz w:val="52"/>
                              <w:szCs w:val="52"/>
                            </w:rPr>
                          </w:pPr>
                          <w:r w:rsidRPr="00E94FED">
                            <w:rPr>
                              <w:color w:val="FFFFFF" w:themeColor="background1"/>
                              <w:sz w:val="52"/>
                              <w:szCs w:val="52"/>
                            </w:rPr>
                            <w:t xml:space="preserve">UNIT </w:t>
                          </w:r>
                          <w:r w:rsidR="00B76139">
                            <w:rPr>
                              <w:color w:val="FFFFFF" w:themeColor="background1"/>
                              <w:sz w:val="52"/>
                              <w:szCs w:val="52"/>
                            </w:rPr>
                            <w:t>3</w:t>
                          </w:r>
                          <w:r w:rsidR="00A76601">
                            <w:rPr>
                              <w:color w:val="FFFFFF" w:themeColor="background1"/>
                              <w:sz w:val="52"/>
                              <w:szCs w:val="52"/>
                            </w:rPr>
                            <w:t>7</w:t>
                          </w:r>
                          <w:r w:rsidRPr="00E94FED">
                            <w:rPr>
                              <w:color w:val="FFFFFF" w:themeColor="background1"/>
                              <w:sz w:val="52"/>
                              <w:szCs w:val="52"/>
                            </w:rPr>
                            <w:t>:</w:t>
                          </w:r>
                          <w:r w:rsidRPr="00E94FED">
                            <w:rPr>
                              <w:bCs/>
                              <w:color w:val="FFFFFF" w:themeColor="background1"/>
                              <w:sz w:val="52"/>
                              <w:szCs w:val="52"/>
                            </w:rPr>
                            <w:t xml:space="preserve"> </w:t>
                          </w:r>
                        </w:p>
                        <w:p w14:paraId="6FEB52CF" w14:textId="14CD2396" w:rsidR="00B454E5" w:rsidRPr="00E94FED" w:rsidRDefault="00A76601" w:rsidP="004172EE">
                          <w:pPr>
                            <w:spacing w:line="360" w:lineRule="exact"/>
                            <w:rPr>
                              <w:color w:val="FFFFFF" w:themeColor="background1"/>
                              <w:sz w:val="36"/>
                            </w:rPr>
                          </w:pPr>
                          <w:r>
                            <w:rPr>
                              <w:color w:val="FFFFFF" w:themeColor="background1"/>
                              <w:sz w:val="36"/>
                            </w:rPr>
                            <w:t>Testing orders of thinking from comprehension to creativity</w:t>
                          </w:r>
                          <w:r w:rsidR="00B76139">
                            <w:rPr>
                              <w:color w:val="FFFFFF" w:themeColor="background1"/>
                              <w:sz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B52C7" id="Rectangle 32" o:spid="_x0000_s1026" style="position:absolute;margin-left:78pt;margin-top:-22.65pt;width:471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" filled="f" stroked="f" strokeweight="1pt">
              <v:textbox>
                <w:txbxContent>
                  <w:p w14:paraId="2A43BC9C" w14:textId="7F0F9ED6" w:rsidR="00B76139" w:rsidRDefault="004172EE" w:rsidP="00E94FED">
                    <w:pPr>
                      <w:spacing w:line="240" w:lineRule="exact"/>
                      <w:rPr>
                        <w:b/>
                        <w:color w:val="FFFFFF" w:themeColor="background1"/>
                      </w:rPr>
                    </w:pPr>
                    <w:r w:rsidRPr="004172EE">
                      <w:rPr>
                        <w:b/>
                        <w:color w:val="FFFFFF" w:themeColor="background1"/>
                      </w:rPr>
                      <w:t>INTEGRATE ICT INTO TEACHING AND LEARNING</w:t>
                    </w:r>
                    <w:r w:rsidR="00B76139">
                      <w:rPr>
                        <w:b/>
                        <w:color w:val="FFFFFF" w:themeColor="background1"/>
                      </w:rPr>
                      <w:t xml:space="preserve"> | MODULE </w:t>
                    </w:r>
                    <w:r w:rsidR="009C7B04">
                      <w:rPr>
                        <w:b/>
                        <w:color w:val="FFFFFF" w:themeColor="background1"/>
                      </w:rPr>
                      <w:t>4</w:t>
                    </w:r>
                    <w:r w:rsidR="00B454E5" w:rsidRPr="00E94FED">
                      <w:rPr>
                        <w:b/>
                        <w:color w:val="FFFFFF" w:themeColor="background1"/>
                      </w:rPr>
                      <w:t xml:space="preserve"> </w:t>
                    </w:r>
                    <w:r w:rsidR="00B76139">
                      <w:rPr>
                        <w:b/>
                        <w:color w:val="FFFFFF" w:themeColor="background1"/>
                      </w:rPr>
                      <w:t>–</w:t>
                    </w:r>
                    <w:r w:rsidR="00B454E5" w:rsidRPr="00E94FED">
                      <w:rPr>
                        <w:b/>
                        <w:color w:val="FFFFFF" w:themeColor="background1"/>
                      </w:rPr>
                      <w:t xml:space="preserve"> </w:t>
                    </w:r>
                    <w:r w:rsidR="009C7B04">
                      <w:rPr>
                        <w:b/>
                        <w:color w:val="FFFFFF" w:themeColor="background1"/>
                      </w:rPr>
                      <w:t>USING ICT-BASED ASSESSMENT TOOLS</w:t>
                    </w:r>
                  </w:p>
                  <w:p w14:paraId="6FEB52CE" w14:textId="6AA59C06" w:rsidR="00B454E5" w:rsidRPr="00E94FED" w:rsidRDefault="00B454E5" w:rsidP="00E94FED">
                    <w:pPr>
                      <w:spacing w:line="520" w:lineRule="exact"/>
                      <w:rPr>
                        <w:bCs/>
                        <w:color w:val="FFFFFF" w:themeColor="background1"/>
                        <w:sz w:val="52"/>
                        <w:szCs w:val="52"/>
                      </w:rPr>
                    </w:pPr>
                    <w:r w:rsidRPr="00E94FED">
                      <w:rPr>
                        <w:color w:val="FFFFFF" w:themeColor="background1"/>
                        <w:sz w:val="52"/>
                        <w:szCs w:val="52"/>
                      </w:rPr>
                      <w:t xml:space="preserve">UNIT </w:t>
                    </w:r>
                    <w:r w:rsidR="00B76139">
                      <w:rPr>
                        <w:color w:val="FFFFFF" w:themeColor="background1"/>
                        <w:sz w:val="52"/>
                        <w:szCs w:val="52"/>
                      </w:rPr>
                      <w:t>3</w:t>
                    </w:r>
                    <w:r w:rsidR="00A76601">
                      <w:rPr>
                        <w:color w:val="FFFFFF" w:themeColor="background1"/>
                        <w:sz w:val="52"/>
                        <w:szCs w:val="52"/>
                      </w:rPr>
                      <w:t>7</w:t>
                    </w:r>
                    <w:r w:rsidRPr="00E94FED">
                      <w:rPr>
                        <w:color w:val="FFFFFF" w:themeColor="background1"/>
                        <w:sz w:val="52"/>
                        <w:szCs w:val="52"/>
                      </w:rPr>
                      <w:t>:</w:t>
                    </w:r>
                    <w:r w:rsidRPr="00E94FED">
                      <w:rPr>
                        <w:bCs/>
                        <w:color w:val="FFFFFF" w:themeColor="background1"/>
                        <w:sz w:val="52"/>
                        <w:szCs w:val="52"/>
                      </w:rPr>
                      <w:t xml:space="preserve"> </w:t>
                    </w:r>
                  </w:p>
                  <w:p w14:paraId="6FEB52CF" w14:textId="14CD2396" w:rsidR="00B454E5" w:rsidRPr="00E94FED" w:rsidRDefault="00A76601" w:rsidP="004172EE">
                    <w:pPr>
                      <w:spacing w:line="360" w:lineRule="exact"/>
                      <w:rPr>
                        <w:color w:val="FFFFFF" w:themeColor="background1"/>
                        <w:sz w:val="36"/>
                      </w:rPr>
                    </w:pPr>
                    <w:r>
                      <w:rPr>
                        <w:color w:val="FFFFFF" w:themeColor="background1"/>
                        <w:sz w:val="36"/>
                      </w:rPr>
                      <w:t>Testing orders of thinking from comprehension to creativity</w:t>
                    </w:r>
                    <w:r w:rsidR="00B76139">
                      <w:rPr>
                        <w:color w:val="FFFFFF" w:themeColor="background1"/>
                        <w:sz w:val="36"/>
                      </w:rPr>
                      <w:t xml:space="preserve"> </w:t>
                    </w:r>
                  </w:p>
                </w:txbxContent>
              </v:textbox>
            </v:rect>
          </w:pict>
        </mc:Fallback>
      </mc:AlternateContent>
    </w:r>
    <w:r w:rsidR="00655B4D">
      <w:rPr>
        <w:noProof/>
      </w:rPr>
      <w:drawing>
        <wp:anchor distT="0" distB="0" distL="114300" distR="114300" simplePos="0" relativeHeight="251661312" behindDoc="1" locked="0" layoutInCell="1" allowOverlap="1" wp14:anchorId="6FEB52C9" wp14:editId="6FEB52CA">
          <wp:simplePos x="457200" y="447675"/>
          <wp:positionH relativeFrom="page">
            <wp:align>left</wp:align>
          </wp:positionH>
          <wp:positionV relativeFrom="page">
            <wp:align>top</wp:align>
          </wp:positionV>
          <wp:extent cx="7560000" cy="1267200"/>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thew Goniwe and Gauteng Dept of Education GRAPHICS V2-27.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D68A8"/>
    <w:multiLevelType w:val="hybridMultilevel"/>
    <w:tmpl w:val="90F0D7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A224B2F"/>
    <w:multiLevelType w:val="hybridMultilevel"/>
    <w:tmpl w:val="33DC04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093F4B"/>
    <w:multiLevelType w:val="hybridMultilevel"/>
    <w:tmpl w:val="CA18B254"/>
    <w:lvl w:ilvl="0" w:tplc="1D26B6F0">
      <w:numFmt w:val="bullet"/>
      <w:lvlText w:val="•"/>
      <w:lvlJc w:val="left"/>
      <w:pPr>
        <w:ind w:left="720" w:hanging="360"/>
      </w:pPr>
      <w:rPr>
        <w:rFonts w:ascii="Calibri" w:eastAsiaTheme="minorHAns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35C9C"/>
    <w:multiLevelType w:val="hybridMultilevel"/>
    <w:tmpl w:val="1C181A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D58368A"/>
    <w:multiLevelType w:val="hybridMultilevel"/>
    <w:tmpl w:val="11FE84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36311DB"/>
    <w:multiLevelType w:val="hybridMultilevel"/>
    <w:tmpl w:val="5B9E4E08"/>
    <w:lvl w:ilvl="0" w:tplc="19B0B95E">
      <w:start w:val="1"/>
      <w:numFmt w:val="decimal"/>
      <w:lvlText w:val="%1."/>
      <w:lvlJc w:val="left"/>
      <w:pPr>
        <w:tabs>
          <w:tab w:val="num" w:pos="360"/>
        </w:tabs>
        <w:ind w:left="360" w:hanging="360"/>
      </w:pPr>
    </w:lvl>
    <w:lvl w:ilvl="1" w:tplc="DA742A94">
      <w:start w:val="1"/>
      <w:numFmt w:val="decimal"/>
      <w:lvlText w:val="%2."/>
      <w:lvlJc w:val="left"/>
      <w:pPr>
        <w:tabs>
          <w:tab w:val="num" w:pos="1080"/>
        </w:tabs>
        <w:ind w:left="1080" w:hanging="360"/>
      </w:pPr>
    </w:lvl>
    <w:lvl w:ilvl="2" w:tplc="BB7027A8" w:tentative="1">
      <w:start w:val="1"/>
      <w:numFmt w:val="decimal"/>
      <w:lvlText w:val="%3."/>
      <w:lvlJc w:val="left"/>
      <w:pPr>
        <w:tabs>
          <w:tab w:val="num" w:pos="1800"/>
        </w:tabs>
        <w:ind w:left="1800" w:hanging="360"/>
      </w:pPr>
    </w:lvl>
    <w:lvl w:ilvl="3" w:tplc="CE6A55C0" w:tentative="1">
      <w:start w:val="1"/>
      <w:numFmt w:val="decimal"/>
      <w:lvlText w:val="%4."/>
      <w:lvlJc w:val="left"/>
      <w:pPr>
        <w:tabs>
          <w:tab w:val="num" w:pos="2520"/>
        </w:tabs>
        <w:ind w:left="2520" w:hanging="360"/>
      </w:pPr>
    </w:lvl>
    <w:lvl w:ilvl="4" w:tplc="074AF9F6" w:tentative="1">
      <w:start w:val="1"/>
      <w:numFmt w:val="decimal"/>
      <w:lvlText w:val="%5."/>
      <w:lvlJc w:val="left"/>
      <w:pPr>
        <w:tabs>
          <w:tab w:val="num" w:pos="3240"/>
        </w:tabs>
        <w:ind w:left="3240" w:hanging="360"/>
      </w:pPr>
    </w:lvl>
    <w:lvl w:ilvl="5" w:tplc="0E1A4E8C" w:tentative="1">
      <w:start w:val="1"/>
      <w:numFmt w:val="decimal"/>
      <w:lvlText w:val="%6."/>
      <w:lvlJc w:val="left"/>
      <w:pPr>
        <w:tabs>
          <w:tab w:val="num" w:pos="3960"/>
        </w:tabs>
        <w:ind w:left="3960" w:hanging="360"/>
      </w:pPr>
    </w:lvl>
    <w:lvl w:ilvl="6" w:tplc="D8560EFA" w:tentative="1">
      <w:start w:val="1"/>
      <w:numFmt w:val="decimal"/>
      <w:lvlText w:val="%7."/>
      <w:lvlJc w:val="left"/>
      <w:pPr>
        <w:tabs>
          <w:tab w:val="num" w:pos="4680"/>
        </w:tabs>
        <w:ind w:left="4680" w:hanging="360"/>
      </w:pPr>
    </w:lvl>
    <w:lvl w:ilvl="7" w:tplc="D1D68528" w:tentative="1">
      <w:start w:val="1"/>
      <w:numFmt w:val="decimal"/>
      <w:lvlText w:val="%8."/>
      <w:lvlJc w:val="left"/>
      <w:pPr>
        <w:tabs>
          <w:tab w:val="num" w:pos="5400"/>
        </w:tabs>
        <w:ind w:left="5400" w:hanging="360"/>
      </w:pPr>
    </w:lvl>
    <w:lvl w:ilvl="8" w:tplc="C938116A" w:tentative="1">
      <w:start w:val="1"/>
      <w:numFmt w:val="decimal"/>
      <w:lvlText w:val="%9."/>
      <w:lvlJc w:val="left"/>
      <w:pPr>
        <w:tabs>
          <w:tab w:val="num" w:pos="6120"/>
        </w:tabs>
        <w:ind w:left="6120" w:hanging="360"/>
      </w:pPr>
    </w:lvl>
  </w:abstractNum>
  <w:abstractNum w:abstractNumId="6" w15:restartNumberingAfterBreak="0">
    <w:nsid w:val="6F4E45D4"/>
    <w:multiLevelType w:val="hybridMultilevel"/>
    <w:tmpl w:val="F2C63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E5"/>
    <w:rsid w:val="0004657A"/>
    <w:rsid w:val="001A6AD8"/>
    <w:rsid w:val="00287AA0"/>
    <w:rsid w:val="002E4D4B"/>
    <w:rsid w:val="004172EE"/>
    <w:rsid w:val="00655B4D"/>
    <w:rsid w:val="00854624"/>
    <w:rsid w:val="009C7B04"/>
    <w:rsid w:val="00A76601"/>
    <w:rsid w:val="00B25DD6"/>
    <w:rsid w:val="00B454E5"/>
    <w:rsid w:val="00B76139"/>
    <w:rsid w:val="00CE4A61"/>
    <w:rsid w:val="00E90A25"/>
    <w:rsid w:val="00E94FED"/>
    <w:rsid w:val="00FF1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B528F"/>
  <w15:chartTrackingRefBased/>
  <w15:docId w15:val="{19E29E6D-9CE4-459F-B723-956A2BDF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FED"/>
    <w:pPr>
      <w:autoSpaceDE w:val="0"/>
      <w:autoSpaceDN w:val="0"/>
      <w:adjustRightInd w:val="0"/>
      <w:spacing w:after="0" w:line="360" w:lineRule="auto"/>
    </w:pPr>
    <w:rPr>
      <w:rFonts w:cs="ArialMT"/>
      <w:color w:val="000000"/>
    </w:rPr>
  </w:style>
  <w:style w:type="paragraph" w:styleId="Heading1">
    <w:name w:val="heading 1"/>
    <w:basedOn w:val="Normal"/>
    <w:next w:val="Normal"/>
    <w:link w:val="Heading1Char"/>
    <w:uiPriority w:val="9"/>
    <w:qFormat/>
    <w:rsid w:val="00E94FED"/>
    <w:pPr>
      <w:spacing w:after="120" w:line="240" w:lineRule="auto"/>
      <w:outlineLvl w:val="0"/>
    </w:pPr>
    <w:rPr>
      <w:b/>
      <w:color w:val="8CA430" w:themeColor="accent2"/>
      <w:sz w:val="36"/>
      <w:szCs w:val="34"/>
    </w:rPr>
  </w:style>
  <w:style w:type="paragraph" w:styleId="Heading2">
    <w:name w:val="heading 2"/>
    <w:basedOn w:val="Normal"/>
    <w:next w:val="Normal"/>
    <w:link w:val="Heading2Char"/>
    <w:uiPriority w:val="9"/>
    <w:unhideWhenUsed/>
    <w:qFormat/>
    <w:rsid w:val="00E94FED"/>
    <w:pPr>
      <w:spacing w:after="120" w:line="240" w:lineRule="auto"/>
      <w:outlineLvl w:val="1"/>
    </w:pPr>
    <w:rPr>
      <w:color w:val="1BB3CF"/>
      <w:sz w:val="28"/>
      <w:szCs w:val="28"/>
    </w:rPr>
  </w:style>
  <w:style w:type="paragraph" w:styleId="Heading3">
    <w:name w:val="heading 3"/>
    <w:basedOn w:val="Normal"/>
    <w:next w:val="Normal"/>
    <w:link w:val="Heading3Char"/>
    <w:uiPriority w:val="9"/>
    <w:unhideWhenUsed/>
    <w:qFormat/>
    <w:rsid w:val="00854624"/>
    <w:pPr>
      <w:spacing w:line="240" w:lineRule="auto"/>
      <w:outlineLvl w:val="2"/>
    </w:pPr>
    <w:rPr>
      <w:color w:val="184B9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4E5"/>
    <w:pPr>
      <w:tabs>
        <w:tab w:val="center" w:pos="4513"/>
        <w:tab w:val="right" w:pos="9026"/>
      </w:tabs>
      <w:spacing w:line="240" w:lineRule="auto"/>
    </w:pPr>
  </w:style>
  <w:style w:type="character" w:customStyle="1" w:styleId="HeaderChar">
    <w:name w:val="Header Char"/>
    <w:basedOn w:val="DefaultParagraphFont"/>
    <w:link w:val="Header"/>
    <w:uiPriority w:val="99"/>
    <w:rsid w:val="00B454E5"/>
  </w:style>
  <w:style w:type="paragraph" w:styleId="Footer">
    <w:name w:val="footer"/>
    <w:basedOn w:val="Normal"/>
    <w:link w:val="FooterChar"/>
    <w:uiPriority w:val="99"/>
    <w:unhideWhenUsed/>
    <w:rsid w:val="00B454E5"/>
    <w:pPr>
      <w:tabs>
        <w:tab w:val="center" w:pos="4513"/>
        <w:tab w:val="right" w:pos="9026"/>
      </w:tabs>
      <w:spacing w:line="240" w:lineRule="auto"/>
    </w:pPr>
  </w:style>
  <w:style w:type="character" w:customStyle="1" w:styleId="FooterChar">
    <w:name w:val="Footer Char"/>
    <w:basedOn w:val="DefaultParagraphFont"/>
    <w:link w:val="Footer"/>
    <w:uiPriority w:val="99"/>
    <w:rsid w:val="00B454E5"/>
  </w:style>
  <w:style w:type="paragraph" w:styleId="NormalWeb">
    <w:name w:val="Normal (Web)"/>
    <w:basedOn w:val="Normal"/>
    <w:uiPriority w:val="99"/>
    <w:semiHidden/>
    <w:unhideWhenUsed/>
    <w:rsid w:val="00B454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94FED"/>
    <w:rPr>
      <w:rFonts w:cs="ArialMT"/>
      <w:b/>
      <w:color w:val="8CA430" w:themeColor="accent2"/>
      <w:sz w:val="36"/>
      <w:szCs w:val="34"/>
    </w:rPr>
  </w:style>
  <w:style w:type="character" w:customStyle="1" w:styleId="Heading2Char">
    <w:name w:val="Heading 2 Char"/>
    <w:basedOn w:val="DefaultParagraphFont"/>
    <w:link w:val="Heading2"/>
    <w:uiPriority w:val="9"/>
    <w:rsid w:val="00E94FED"/>
    <w:rPr>
      <w:rFonts w:cs="ArialMT"/>
      <w:color w:val="1BB3CF"/>
      <w:sz w:val="28"/>
      <w:szCs w:val="28"/>
    </w:rPr>
  </w:style>
  <w:style w:type="character" w:customStyle="1" w:styleId="Heading3Char">
    <w:name w:val="Heading 3 Char"/>
    <w:basedOn w:val="DefaultParagraphFont"/>
    <w:link w:val="Heading3"/>
    <w:uiPriority w:val="9"/>
    <w:rsid w:val="00854624"/>
    <w:rPr>
      <w:rFonts w:cs="ArialMT"/>
      <w:color w:val="184B9B"/>
      <w:sz w:val="24"/>
      <w:szCs w:val="24"/>
    </w:rPr>
  </w:style>
  <w:style w:type="paragraph" w:styleId="ListParagraph">
    <w:name w:val="List Paragraph"/>
    <w:basedOn w:val="Normal"/>
    <w:uiPriority w:val="34"/>
    <w:qFormat/>
    <w:rsid w:val="00854624"/>
    <w:pPr>
      <w:ind w:left="720"/>
      <w:contextualSpacing/>
    </w:pPr>
  </w:style>
  <w:style w:type="character" w:styleId="Hyperlink">
    <w:name w:val="Hyperlink"/>
    <w:basedOn w:val="DefaultParagraphFont"/>
    <w:uiPriority w:val="99"/>
    <w:unhideWhenUsed/>
    <w:rsid w:val="009C7B04"/>
    <w:rPr>
      <w:color w:val="70AD47" w:themeColor="hyperlink"/>
      <w:u w:val="single"/>
    </w:rPr>
  </w:style>
  <w:style w:type="character" w:styleId="UnresolvedMention">
    <w:name w:val="Unresolved Mention"/>
    <w:basedOn w:val="DefaultParagraphFont"/>
    <w:uiPriority w:val="99"/>
    <w:semiHidden/>
    <w:unhideWhenUsed/>
    <w:rsid w:val="009C7B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1846">
      <w:bodyDiv w:val="1"/>
      <w:marLeft w:val="0"/>
      <w:marRight w:val="0"/>
      <w:marTop w:val="0"/>
      <w:marBottom w:val="0"/>
      <w:divBdr>
        <w:top w:val="none" w:sz="0" w:space="0" w:color="auto"/>
        <w:left w:val="none" w:sz="0" w:space="0" w:color="auto"/>
        <w:bottom w:val="none" w:sz="0" w:space="0" w:color="auto"/>
        <w:right w:val="none" w:sz="0" w:space="0" w:color="auto"/>
      </w:divBdr>
    </w:div>
    <w:div w:id="274598233">
      <w:bodyDiv w:val="1"/>
      <w:marLeft w:val="0"/>
      <w:marRight w:val="0"/>
      <w:marTop w:val="0"/>
      <w:marBottom w:val="0"/>
      <w:divBdr>
        <w:top w:val="none" w:sz="0" w:space="0" w:color="auto"/>
        <w:left w:val="none" w:sz="0" w:space="0" w:color="auto"/>
        <w:bottom w:val="none" w:sz="0" w:space="0" w:color="auto"/>
        <w:right w:val="none" w:sz="0" w:space="0" w:color="auto"/>
      </w:divBdr>
    </w:div>
    <w:div w:id="870187777">
      <w:bodyDiv w:val="1"/>
      <w:marLeft w:val="0"/>
      <w:marRight w:val="0"/>
      <w:marTop w:val="0"/>
      <w:marBottom w:val="0"/>
      <w:divBdr>
        <w:top w:val="none" w:sz="0" w:space="0" w:color="auto"/>
        <w:left w:val="none" w:sz="0" w:space="0" w:color="auto"/>
        <w:bottom w:val="none" w:sz="0" w:space="0" w:color="auto"/>
        <w:right w:val="none" w:sz="0" w:space="0" w:color="auto"/>
      </w:divBdr>
    </w:div>
    <w:div w:id="1099061463">
      <w:bodyDiv w:val="1"/>
      <w:marLeft w:val="0"/>
      <w:marRight w:val="0"/>
      <w:marTop w:val="0"/>
      <w:marBottom w:val="0"/>
      <w:divBdr>
        <w:top w:val="none" w:sz="0" w:space="0" w:color="auto"/>
        <w:left w:val="none" w:sz="0" w:space="0" w:color="auto"/>
        <w:bottom w:val="none" w:sz="0" w:space="0" w:color="auto"/>
        <w:right w:val="none" w:sz="0" w:space="0" w:color="auto"/>
      </w:divBdr>
    </w:div>
    <w:div w:id="1609241637">
      <w:bodyDiv w:val="1"/>
      <w:marLeft w:val="0"/>
      <w:marRight w:val="0"/>
      <w:marTop w:val="0"/>
      <w:marBottom w:val="0"/>
      <w:divBdr>
        <w:top w:val="none" w:sz="0" w:space="0" w:color="auto"/>
        <w:left w:val="none" w:sz="0" w:space="0" w:color="auto"/>
        <w:bottom w:val="none" w:sz="0" w:space="0" w:color="auto"/>
        <w:right w:val="none" w:sz="0" w:space="0" w:color="auto"/>
      </w:divBdr>
      <w:divsChild>
        <w:div w:id="1386568296">
          <w:marLeft w:val="547"/>
          <w:marRight w:val="0"/>
          <w:marTop w:val="0"/>
          <w:marBottom w:val="0"/>
          <w:divBdr>
            <w:top w:val="none" w:sz="0" w:space="0" w:color="auto"/>
            <w:left w:val="none" w:sz="0" w:space="0" w:color="auto"/>
            <w:bottom w:val="none" w:sz="0" w:space="0" w:color="auto"/>
            <w:right w:val="none" w:sz="0" w:space="0" w:color="auto"/>
          </w:divBdr>
        </w:div>
        <w:div w:id="1585071076">
          <w:marLeft w:val="547"/>
          <w:marRight w:val="0"/>
          <w:marTop w:val="0"/>
          <w:marBottom w:val="0"/>
          <w:divBdr>
            <w:top w:val="none" w:sz="0" w:space="0" w:color="auto"/>
            <w:left w:val="none" w:sz="0" w:space="0" w:color="auto"/>
            <w:bottom w:val="none" w:sz="0" w:space="0" w:color="auto"/>
            <w:right w:val="none" w:sz="0" w:space="0" w:color="auto"/>
          </w:divBdr>
        </w:div>
        <w:div w:id="1836647771">
          <w:marLeft w:val="547"/>
          <w:marRight w:val="0"/>
          <w:marTop w:val="0"/>
          <w:marBottom w:val="0"/>
          <w:divBdr>
            <w:top w:val="none" w:sz="0" w:space="0" w:color="auto"/>
            <w:left w:val="none" w:sz="0" w:space="0" w:color="auto"/>
            <w:bottom w:val="none" w:sz="0" w:space="0" w:color="auto"/>
            <w:right w:val="none" w:sz="0" w:space="0" w:color="auto"/>
          </w:divBdr>
        </w:div>
        <w:div w:id="1666400831">
          <w:marLeft w:val="547"/>
          <w:marRight w:val="0"/>
          <w:marTop w:val="0"/>
          <w:marBottom w:val="0"/>
          <w:divBdr>
            <w:top w:val="none" w:sz="0" w:space="0" w:color="auto"/>
            <w:left w:val="none" w:sz="0" w:space="0" w:color="auto"/>
            <w:bottom w:val="none" w:sz="0" w:space="0" w:color="auto"/>
            <w:right w:val="none" w:sz="0" w:space="0" w:color="auto"/>
          </w:divBdr>
        </w:div>
        <w:div w:id="263267413">
          <w:marLeft w:val="547"/>
          <w:marRight w:val="0"/>
          <w:marTop w:val="0"/>
          <w:marBottom w:val="0"/>
          <w:divBdr>
            <w:top w:val="none" w:sz="0" w:space="0" w:color="auto"/>
            <w:left w:val="none" w:sz="0" w:space="0" w:color="auto"/>
            <w:bottom w:val="none" w:sz="0" w:space="0" w:color="auto"/>
            <w:right w:val="none" w:sz="0" w:space="0" w:color="auto"/>
          </w:divBdr>
        </w:div>
        <w:div w:id="1641350073">
          <w:marLeft w:val="1267"/>
          <w:marRight w:val="0"/>
          <w:marTop w:val="0"/>
          <w:marBottom w:val="0"/>
          <w:divBdr>
            <w:top w:val="none" w:sz="0" w:space="0" w:color="auto"/>
            <w:left w:val="none" w:sz="0" w:space="0" w:color="auto"/>
            <w:bottom w:val="none" w:sz="0" w:space="0" w:color="auto"/>
            <w:right w:val="none" w:sz="0" w:space="0" w:color="auto"/>
          </w:divBdr>
        </w:div>
        <w:div w:id="91557089">
          <w:marLeft w:val="1267"/>
          <w:marRight w:val="0"/>
          <w:marTop w:val="0"/>
          <w:marBottom w:val="0"/>
          <w:divBdr>
            <w:top w:val="none" w:sz="0" w:space="0" w:color="auto"/>
            <w:left w:val="none" w:sz="0" w:space="0" w:color="auto"/>
            <w:bottom w:val="none" w:sz="0" w:space="0" w:color="auto"/>
            <w:right w:val="none" w:sz="0" w:space="0" w:color="auto"/>
          </w:divBdr>
        </w:div>
        <w:div w:id="1466000810">
          <w:marLeft w:val="1267"/>
          <w:marRight w:val="0"/>
          <w:marTop w:val="0"/>
          <w:marBottom w:val="0"/>
          <w:divBdr>
            <w:top w:val="none" w:sz="0" w:space="0" w:color="auto"/>
            <w:left w:val="none" w:sz="0" w:space="0" w:color="auto"/>
            <w:bottom w:val="none" w:sz="0" w:space="0" w:color="auto"/>
            <w:right w:val="none" w:sz="0" w:space="0" w:color="auto"/>
          </w:divBdr>
        </w:div>
      </w:divsChild>
    </w:div>
    <w:div w:id="1647665210">
      <w:bodyDiv w:val="1"/>
      <w:marLeft w:val="0"/>
      <w:marRight w:val="0"/>
      <w:marTop w:val="0"/>
      <w:marBottom w:val="0"/>
      <w:divBdr>
        <w:top w:val="none" w:sz="0" w:space="0" w:color="auto"/>
        <w:left w:val="none" w:sz="0" w:space="0" w:color="auto"/>
        <w:bottom w:val="none" w:sz="0" w:space="0" w:color="auto"/>
        <w:right w:val="none" w:sz="0" w:space="0" w:color="auto"/>
      </w:divBdr>
    </w:div>
    <w:div w:id="176279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9">
      <a:dk1>
        <a:srgbClr val="262626"/>
      </a:dk1>
      <a:lt1>
        <a:sysClr val="window" lastClr="FFFFFF"/>
      </a:lt1>
      <a:dk2>
        <a:srgbClr val="7F7F7F"/>
      </a:dk2>
      <a:lt2>
        <a:srgbClr val="E7E6E6"/>
      </a:lt2>
      <a:accent1>
        <a:srgbClr val="1D55A2"/>
      </a:accent1>
      <a:accent2>
        <a:srgbClr val="8CA430"/>
      </a:accent2>
      <a:accent3>
        <a:srgbClr val="06AEB1"/>
      </a:accent3>
      <a:accent4>
        <a:srgbClr val="502F57"/>
      </a:accent4>
      <a:accent5>
        <a:srgbClr val="3B2013"/>
      </a:accent5>
      <a:accent6>
        <a:srgbClr val="3A91B5"/>
      </a:accent6>
      <a:hlink>
        <a:srgbClr val="70AD47"/>
      </a:hlink>
      <a:folHlink>
        <a:srgbClr val="F394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8B9BF0B365C4AAFE727B2F35A8F0D" ma:contentTypeVersion="5" ma:contentTypeDescription="Create a new document." ma:contentTypeScope="" ma:versionID="bfd5b693b5aaeb4bc0d6c1100b4d26d9">
  <xsd:schema xmlns:xsd="http://www.w3.org/2001/XMLSchema" xmlns:xs="http://www.w3.org/2001/XMLSchema" xmlns:p="http://schemas.microsoft.com/office/2006/metadata/properties" xmlns:ns2="a7bb0c64-b6aa-4f80-8406-ac066f33ff26" targetNamespace="http://schemas.microsoft.com/office/2006/metadata/properties" ma:root="true" ma:fieldsID="62d95d4e027daa7c53f97643ac979fa7" ns2:_="">
    <xsd:import namespace="a7bb0c64-b6aa-4f80-8406-ac066f33ff26"/>
    <xsd:element name="properties">
      <xsd:complexType>
        <xsd:sequence>
          <xsd:element name="documentManagement">
            <xsd:complexType>
              <xsd:all>
                <xsd:element ref="ns2:year"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b0c64-b6aa-4f80-8406-ac066f33ff26" elementFormDefault="qualified">
    <xsd:import namespace="http://schemas.microsoft.com/office/2006/documentManagement/types"/>
    <xsd:import namespace="http://schemas.microsoft.com/office/infopath/2007/PartnerControls"/>
    <xsd:element name="year" ma:index="8" nillable="true" ma:displayName="Year" ma:format="DateOnly" ma:internalName="year">
      <xsd:simpleType>
        <xsd:restriction base="dms:DateTime"/>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a7bb0c64-b6aa-4f80-8406-ac066f33ff26" xsi:nil="true"/>
  </documentManagement>
</p:properties>
</file>

<file path=customXml/itemProps1.xml><?xml version="1.0" encoding="utf-8"?>
<ds:datastoreItem xmlns:ds="http://schemas.openxmlformats.org/officeDocument/2006/customXml" ds:itemID="{5C2F5074-7DA5-40F2-8464-2BD0ACB83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b0c64-b6aa-4f80-8406-ac066f33f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51F7C-CFC4-4232-B505-535E03917AC1}">
  <ds:schemaRefs>
    <ds:schemaRef ds:uri="http://schemas.microsoft.com/sharepoint/v3/contenttype/forms"/>
  </ds:schemaRefs>
</ds:datastoreItem>
</file>

<file path=customXml/itemProps3.xml><?xml version="1.0" encoding="utf-8"?>
<ds:datastoreItem xmlns:ds="http://schemas.openxmlformats.org/officeDocument/2006/customXml" ds:itemID="{7ECD81E5-90BE-4BEE-BB87-F5C1CC0990BE}">
  <ds:schemaRefs>
    <ds:schemaRef ds:uri="http://schemas.microsoft.com/office/2006/metadata/properties"/>
    <ds:schemaRef ds:uri="http://schemas.microsoft.com/office/infopath/2007/PartnerControls"/>
    <ds:schemaRef ds:uri="a7bb0c64-b6aa-4f80-8406-ac066f33ff26"/>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Benita Gomes</cp:lastModifiedBy>
  <cp:revision>3</cp:revision>
  <dcterms:created xsi:type="dcterms:W3CDTF">2017-07-26T06:49:00Z</dcterms:created>
  <dcterms:modified xsi:type="dcterms:W3CDTF">2017-07-28T08:57:00Z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0x01010027D8B9BF0B365C4AAFE727B2F35A8F0D</vt:lpwstr>
  </property>
</Properties>
</file>