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Portfolio Assignment Marking Criteria for Unit </w:t>
      </w:r>
      <w:r>
        <w:rPr>
          <w:rFonts w:ascii="Times New Roman" w:hAnsi="Times New Roman"/>
        </w:rPr>
        <w:t>01</w:t>
      </w:r>
    </w:p>
    <w:p w:rsidR="00702DAB" w:rsidRDefault="00702DAB"/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:rsidR="009D1747" w:rsidRDefault="009D1747"/>
    <w:p w:rsidR="009D1747" w:rsidRDefault="009D1747" w:rsidP="009D1747">
      <w:pPr>
        <w:pStyle w:val="Heading2"/>
        <w:rPr>
          <w:rFonts w:ascii="Calibri" w:eastAsia="Calibri" w:hAnsi="Calibri"/>
          <w:b/>
          <w:bCs/>
          <w:color w:val="auto"/>
          <w:sz w:val="22"/>
          <w:szCs w:val="22"/>
        </w:rPr>
      </w:pP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By the end of this unit </w:t>
      </w:r>
      <w:r>
        <w:rPr>
          <w:rFonts w:ascii="Calibri" w:eastAsia="Calibri" w:hAnsi="Calibri"/>
          <w:b/>
          <w:bCs/>
          <w:color w:val="auto"/>
          <w:sz w:val="22"/>
          <w:szCs w:val="22"/>
        </w:rPr>
        <w:t>the teacher</w:t>
      </w: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should be able to:</w:t>
      </w:r>
    </w:p>
    <w:p w:rsidR="009D1747" w:rsidRDefault="009D1747"/>
    <w:p w:rsidR="009D1747" w:rsidRDefault="009D1747" w:rsidP="009D1747">
      <w:pPr>
        <w:pStyle w:val="ListParagraph"/>
        <w:numPr>
          <w:ilvl w:val="0"/>
          <w:numId w:val="1"/>
        </w:numPr>
        <w:rPr>
          <w:lang w:val="en-ZA"/>
        </w:rPr>
      </w:pPr>
      <w:r w:rsidRPr="009D1747">
        <w:rPr>
          <w:lang w:val="en-ZA"/>
        </w:rPr>
        <w:t xml:space="preserve">Explain how existing and planned national policies impact classroom practices </w:t>
      </w:r>
      <w:r>
        <w:rPr>
          <w:lang w:val="en-ZA"/>
        </w:rPr>
        <w:t>in your school</w:t>
      </w:r>
    </w:p>
    <w:p w:rsidR="009D1747" w:rsidRDefault="009D1747" w:rsidP="009D1747">
      <w:pPr>
        <w:pStyle w:val="NoSpacing"/>
        <w:numPr>
          <w:ilvl w:val="0"/>
          <w:numId w:val="1"/>
        </w:numPr>
        <w:rPr>
          <w:lang w:val="en-ZA"/>
        </w:rPr>
      </w:pPr>
      <w:r w:rsidRPr="009D1747">
        <w:rPr>
          <w:lang w:val="en-ZA"/>
        </w:rPr>
        <w:t>Identify how classroom practices correspond to and support national policies;</w:t>
      </w:r>
    </w:p>
    <w:p w:rsidR="009D1747" w:rsidRDefault="009D1747" w:rsidP="009D1747">
      <w:pPr>
        <w:pStyle w:val="NoSpacing"/>
        <w:rPr>
          <w:lang w:val="en-ZA"/>
        </w:rPr>
      </w:pPr>
    </w:p>
    <w:p w:rsidR="009D1747" w:rsidRDefault="009D1747" w:rsidP="009D1747">
      <w:pPr>
        <w:pStyle w:val="Heading2"/>
        <w:rPr>
          <w:rFonts w:ascii="Times New Roman" w:hAnsi="Times New Roman"/>
        </w:rPr>
      </w:pPr>
      <w:r w:rsidRPr="007B40B7">
        <w:rPr>
          <w:rFonts w:ascii="Times New Roman" w:hAnsi="Times New Roman"/>
        </w:rPr>
        <w:t>Portfolio activity</w:t>
      </w:r>
      <w:r>
        <w:rPr>
          <w:rFonts w:ascii="Times New Roman" w:hAnsi="Times New Roman"/>
        </w:rPr>
        <w:t>:</w:t>
      </w:r>
    </w:p>
    <w:p w:rsidR="009D1747" w:rsidRPr="00E61BE2" w:rsidRDefault="009D1747" w:rsidP="009D1747">
      <w:pPr>
        <w:pStyle w:val="NormalWeb"/>
        <w:ind w:left="240" w:right="240"/>
        <w:jc w:val="both"/>
        <w:rPr>
          <w:rFonts w:ascii="Calibri" w:hAnsi="Calibri"/>
          <w:color w:val="000000"/>
          <w:sz w:val="22"/>
          <w:szCs w:val="22"/>
          <w:lang w:val="en"/>
        </w:rPr>
      </w:pPr>
      <w:r w:rsidRPr="00E61BE2">
        <w:rPr>
          <w:rFonts w:ascii="Calibri" w:hAnsi="Calibri"/>
          <w:color w:val="000000"/>
          <w:sz w:val="22"/>
          <w:szCs w:val="22"/>
          <w:lang w:val="en"/>
        </w:rPr>
        <w:t xml:space="preserve">Use any program you feel comfortable with and draft an implementation plan </w:t>
      </w:r>
      <w:r>
        <w:rPr>
          <w:rFonts w:ascii="Calibri" w:hAnsi="Calibri"/>
          <w:color w:val="000000"/>
          <w:sz w:val="22"/>
          <w:szCs w:val="22"/>
          <w:lang w:val="en"/>
        </w:rPr>
        <w:t xml:space="preserve">on how to integrate ICT in teaching and learning 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>to</w:t>
      </w:r>
      <w:r>
        <w:rPr>
          <w:rFonts w:ascii="Calibri" w:hAnsi="Calibri"/>
          <w:color w:val="000000"/>
          <w:sz w:val="22"/>
          <w:szCs w:val="22"/>
          <w:lang w:val="en"/>
        </w:rPr>
        <w:t xml:space="preserve"> enhance classroom practices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>. The plan should outline what combination of ICT tools and services yo</w:t>
      </w:r>
      <w:r>
        <w:rPr>
          <w:rFonts w:ascii="Calibri" w:hAnsi="Calibri"/>
          <w:color w:val="000000"/>
          <w:sz w:val="22"/>
          <w:szCs w:val="22"/>
          <w:lang w:val="en"/>
        </w:rPr>
        <w:t>u would suggest to school administration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 xml:space="preserve"> to enhance 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  <w:lang w:val="en"/>
        </w:rPr>
        <w:t>teaching using technology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 xml:space="preserve">. </w:t>
      </w:r>
    </w:p>
    <w:p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tbl>
      <w:tblPr>
        <w:tblStyle w:val="TableGrid"/>
        <w:tblpPr w:leftFromText="180" w:rightFromText="180" w:vertAnchor="page" w:horzAnchor="margin" w:tblpY="6946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9D1747" w:rsidTr="009D1747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9D1747" w:rsidRPr="00FE725A" w:rsidRDefault="009D1747" w:rsidP="009D1747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presentation </w:t>
            </w:r>
            <w:r>
              <w:rPr>
                <w:b/>
                <w:lang w:val="en-ZA"/>
              </w:rPr>
              <w:br/>
              <w:t xml:space="preserve">that </w:t>
            </w:r>
            <w:r w:rsidRPr="00FE725A">
              <w:rPr>
                <w:b/>
                <w:lang w:val="en-ZA"/>
              </w:rPr>
              <w:t xml:space="preserve">the </w:t>
            </w:r>
            <w:r>
              <w:rPr>
                <w:b/>
                <w:lang w:val="en-ZA"/>
              </w:rPr>
              <w:t>group</w:t>
            </w:r>
            <w:r w:rsidRPr="00FE725A">
              <w:rPr>
                <w:b/>
                <w:lang w:val="en-ZA"/>
              </w:rPr>
              <w:t xml:space="preserve"> 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9D1747" w:rsidTr="009D1747">
        <w:tc>
          <w:tcPr>
            <w:tcW w:w="4390" w:type="dxa"/>
          </w:tcPr>
          <w:p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Effectively summarised the salient points found in the policy documents</w:t>
            </w: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:rsidTr="009D1747">
        <w:tc>
          <w:tcPr>
            <w:tcW w:w="4390" w:type="dxa"/>
          </w:tcPr>
          <w:p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Were able to consider what these statements mean at a national level</w:t>
            </w: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:rsidTr="009D1747">
        <w:tc>
          <w:tcPr>
            <w:tcW w:w="4390" w:type="dxa"/>
          </w:tcPr>
          <w:p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Were able to consider what the policy statements mean for classroom practice</w:t>
            </w: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:rsidTr="009D1747">
        <w:tc>
          <w:tcPr>
            <w:tcW w:w="4390" w:type="dxa"/>
          </w:tcPr>
          <w:p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Were able to submit their assignment using the assignment tool</w:t>
            </w: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:rsidTr="009D1747">
        <w:tc>
          <w:tcPr>
            <w:tcW w:w="4390" w:type="dxa"/>
          </w:tcPr>
          <w:p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Demonstrated a determination to play a positive role in Nation Building.</w:t>
            </w: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:rsidTr="009D1747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9D1747" w:rsidRPr="00FE725A" w:rsidRDefault="009D1747" w:rsidP="009D1747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>Total out of 10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:rsidTr="009D1747">
        <w:tc>
          <w:tcPr>
            <w:tcW w:w="4390" w:type="dxa"/>
            <w:vMerge/>
            <w:shd w:val="clear" w:color="auto" w:fill="BFBFBF" w:themeFill="background1" w:themeFillShade="BF"/>
          </w:tcPr>
          <w:p w:rsidR="009D1747" w:rsidRDefault="009D1747" w:rsidP="009D1747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__/10</w:t>
            </w:r>
          </w:p>
        </w:tc>
      </w:tr>
    </w:tbl>
    <w:p w:rsidR="009D1747" w:rsidRPr="009D1747" w:rsidRDefault="009D1747" w:rsidP="009D1747">
      <w:pPr>
        <w:pStyle w:val="NoSpacing"/>
        <w:rPr>
          <w:lang w:val="en-ZA"/>
        </w:rPr>
      </w:pPr>
    </w:p>
    <w:p w:rsidR="009D1747" w:rsidRDefault="009D1747" w:rsidP="009D1747">
      <w:pPr>
        <w:pStyle w:val="NoSpacing"/>
        <w:rPr>
          <w:lang w:val="en-ZA"/>
        </w:rPr>
      </w:pPr>
    </w:p>
    <w:p w:rsidR="009D1747" w:rsidRDefault="009D1747" w:rsidP="009D1747">
      <w:pPr>
        <w:rPr>
          <w:lang w:val="en-ZA"/>
        </w:rPr>
      </w:pPr>
    </w:p>
    <w:p w:rsidR="009D1747" w:rsidRDefault="009D1747"/>
    <w:sectPr w:rsidR="009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7"/>
    <w:rsid w:val="0049025D"/>
    <w:rsid w:val="00702DAB"/>
    <w:rsid w:val="009D1747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1B51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2</cp:revision>
  <dcterms:created xsi:type="dcterms:W3CDTF">2016-12-06T05:26:00Z</dcterms:created>
  <dcterms:modified xsi:type="dcterms:W3CDTF">2016-12-06T05:26:00Z</dcterms:modified>
</cp:coreProperties>
</file>